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D2D03" w:rsidRPr="00BE7DB7" w:rsidRDefault="00BE7DB7" w:rsidP="00106061">
      <w:pPr>
        <w:spacing w:line="240" w:lineRule="auto"/>
        <w:ind w:firstLine="0"/>
        <w:rPr>
          <w:rFonts w:cs="Times New Roman"/>
          <w:lang w:bidi="ar"/>
        </w:rPr>
      </w:pPr>
      <w:bookmarkStart w:id="0" w:name="_GoBack"/>
      <w:bookmarkEnd w:id="0"/>
      <w:r w:rsidRPr="00BE7DB7">
        <w:rPr>
          <w:rFonts w:eastAsia="SimSun" w:cs="Times New Roman"/>
          <w:b/>
          <w:bCs/>
          <w:color w:val="000000"/>
          <w:kern w:val="0"/>
          <w:lang w:bidi="ar"/>
        </w:rPr>
        <w:t xml:space="preserve">Directions: </w:t>
      </w:r>
      <w:r w:rsidRPr="00BE7DB7">
        <w:rPr>
          <w:rFonts w:eastAsia="SimSun" w:cs="Times New Roman"/>
          <w:color w:val="000000"/>
          <w:kern w:val="0"/>
          <w:lang w:bidi="ar"/>
        </w:rPr>
        <w:t>Write a DETAILED summary of each of the below New Deal Era acts and programs, and provide examp</w:t>
      </w:r>
      <w:r>
        <w:rPr>
          <w:rFonts w:eastAsia="SimSun" w:cs="Times New Roman"/>
          <w:color w:val="000000"/>
          <w:kern w:val="0"/>
          <w:lang w:bidi="ar"/>
        </w:rPr>
        <w:t xml:space="preserve">les of projects as applicable. </w:t>
      </w:r>
      <w:r w:rsidRPr="00BE7DB7">
        <w:rPr>
          <w:rFonts w:eastAsia="SimSun" w:cs="Times New Roman"/>
          <w:color w:val="000000"/>
          <w:kern w:val="0"/>
          <w:lang w:bidi="ar"/>
        </w:rPr>
        <w:t xml:space="preserve">There is no minimum word count requirement for each, but your goal is to provide detailed and substantiate information about each program/act.    </w:t>
      </w:r>
    </w:p>
    <w:tbl>
      <w:tblPr>
        <w:tblStyle w:val="TableGrid"/>
        <w:tblW w:w="13635" w:type="dxa"/>
        <w:tblLayout w:type="fixed"/>
        <w:tblLook w:val="04A0" w:firstRow="1" w:lastRow="0" w:firstColumn="1" w:lastColumn="0" w:noHBand="0" w:noVBand="1"/>
      </w:tblPr>
      <w:tblGrid>
        <w:gridCol w:w="3600"/>
        <w:gridCol w:w="10035"/>
      </w:tblGrid>
      <w:tr w:rsidR="003E7073" w:rsidRPr="00BE7DB7">
        <w:tc>
          <w:tcPr>
            <w:tcW w:w="3600" w:type="dxa"/>
          </w:tcPr>
          <w:p w:rsidR="003D2D03" w:rsidRPr="00BE7DB7" w:rsidRDefault="00E96B3C" w:rsidP="00106061">
            <w:pPr>
              <w:spacing w:line="240" w:lineRule="auto"/>
              <w:ind w:firstLine="0"/>
              <w:jc w:val="left"/>
              <w:rPr>
                <w:rFonts w:cs="Times New Roman"/>
                <w:b/>
                <w:bCs/>
                <w:lang w:bidi="ar"/>
              </w:rPr>
            </w:pPr>
            <w:r w:rsidRPr="00BE7DB7">
              <w:rPr>
                <w:rFonts w:cs="Times New Roman"/>
                <w:b/>
                <w:bCs/>
                <w:lang w:bidi="ar"/>
              </w:rPr>
              <w:t>NEW DEAL ACT</w:t>
            </w:r>
          </w:p>
        </w:tc>
        <w:tc>
          <w:tcPr>
            <w:tcW w:w="10035" w:type="dxa"/>
          </w:tcPr>
          <w:p w:rsidR="003D2D03" w:rsidRPr="00BE7DB7" w:rsidRDefault="00E96B3C" w:rsidP="00106061">
            <w:pPr>
              <w:spacing w:line="240" w:lineRule="auto"/>
              <w:jc w:val="left"/>
              <w:rPr>
                <w:rFonts w:cs="Times New Roman"/>
                <w:b/>
                <w:bCs/>
              </w:rPr>
            </w:pPr>
            <w:r w:rsidRPr="00BE7DB7">
              <w:rPr>
                <w:rFonts w:cs="Times New Roman"/>
                <w:b/>
                <w:bCs/>
              </w:rPr>
              <w:t>SUMMARY OF ACT AND EXAMPLE(S)</w:t>
            </w:r>
          </w:p>
        </w:tc>
      </w:tr>
      <w:tr w:rsidR="003E7073" w:rsidRPr="00BE7DB7" w:rsidTr="00BE7DB7">
        <w:trPr>
          <w:trHeight w:val="3032"/>
        </w:trPr>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Agricultural Adjustment Act</w:t>
            </w:r>
          </w:p>
        </w:tc>
        <w:tc>
          <w:tcPr>
            <w:tcW w:w="10035" w:type="dxa"/>
          </w:tcPr>
          <w:p w:rsidR="003D2D03" w:rsidRPr="00FE1D1B" w:rsidRDefault="00E96B3C" w:rsidP="00885B02">
            <w:pPr>
              <w:spacing w:line="240" w:lineRule="auto"/>
              <w:ind w:firstLine="0"/>
              <w:jc w:val="left"/>
              <w:rPr>
                <w:rFonts w:cs="Times New Roman"/>
              </w:rPr>
            </w:pPr>
            <w:r w:rsidRPr="00BE7DB7">
              <w:rPr>
                <w:rFonts w:cs="Times New Roman"/>
              </w:rPr>
              <w:t>This was a New Deal era designed to boost the prices of agricultural commodities by reducing surpluses in the market. The government would pay farmers subsidies after buying their cows for slaughter so that they could keep some of their lands unplanted so that the production would be lowered. The AAA led to the creation of another body which was known as Agricultural Adjustment Administration which was loaded with the task of ensuring that subsidies were well distributed and controlled</w:t>
            </w:r>
            <w:sdt>
              <w:sdtPr>
                <w:rPr>
                  <w:rFonts w:cs="Times New Roman"/>
                </w:rPr>
                <w:id w:val="-2055303314"/>
                <w:citation/>
              </w:sdtPr>
              <w:sdtEndPr/>
              <w:sdtContent>
                <w:r w:rsidR="00885B02">
                  <w:rPr>
                    <w:rFonts w:cs="Times New Roman"/>
                  </w:rPr>
                  <w:fldChar w:fldCharType="begin"/>
                </w:r>
                <w:r w:rsidR="00885B02">
                  <w:rPr>
                    <w:rFonts w:cs="Times New Roman"/>
                  </w:rPr>
                  <w:instrText xml:space="preserve"> CITATION Bla13 \l 1033 </w:instrText>
                </w:r>
                <w:r w:rsidR="00885B02">
                  <w:rPr>
                    <w:rFonts w:cs="Times New Roman"/>
                  </w:rPr>
                  <w:fldChar w:fldCharType="separate"/>
                </w:r>
                <w:r w:rsidR="00885B02">
                  <w:rPr>
                    <w:rFonts w:cs="Times New Roman"/>
                    <w:noProof/>
                  </w:rPr>
                  <w:t xml:space="preserve"> </w:t>
                </w:r>
                <w:r w:rsidR="00885B02" w:rsidRPr="00885B02">
                  <w:rPr>
                    <w:rFonts w:cs="Times New Roman"/>
                    <w:noProof/>
                  </w:rPr>
                  <w:t>(Blau, 2013)</w:t>
                </w:r>
                <w:r w:rsidR="00885B02">
                  <w:rPr>
                    <w:rFonts w:cs="Times New Roman"/>
                  </w:rPr>
                  <w:fldChar w:fldCharType="end"/>
                </w:r>
              </w:sdtContent>
            </w:sdt>
            <w:r w:rsidRPr="00BE7DB7">
              <w:rPr>
                <w:rFonts w:cs="Times New Roman"/>
              </w:rPr>
              <w:t xml:space="preserve">. This was one of the first New Deal programs that represented the federal government's efforts of controlling the </w:t>
            </w:r>
            <w:r w:rsidR="001B79A3" w:rsidRPr="00BE7DB7">
              <w:rPr>
                <w:rFonts w:cs="Times New Roman"/>
              </w:rPr>
              <w:t>addressing the welfare of the American economy. The act was able to increase the agricultural purchasing power as well as provide adequate and emergency relief of agricultural indebtedness</w:t>
            </w:r>
            <w:r w:rsidR="00885B02">
              <w:rPr>
                <w:rFonts w:cs="Times New Roman"/>
              </w:rPr>
              <w:t>.</w:t>
            </w:r>
            <w:r w:rsidR="001B79A3" w:rsidRPr="00BE7DB7">
              <w:rPr>
                <w:rFonts w:cs="Times New Roman"/>
              </w:rPr>
              <w:t xml:space="preserve"> </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Civilian Conservation Corps</w:t>
            </w:r>
          </w:p>
        </w:tc>
        <w:tc>
          <w:tcPr>
            <w:tcW w:w="10035" w:type="dxa"/>
          </w:tcPr>
          <w:p w:rsidR="003D2D03" w:rsidRPr="00BE7DB7" w:rsidRDefault="00E96B3C" w:rsidP="00885B02">
            <w:pPr>
              <w:spacing w:line="240" w:lineRule="auto"/>
              <w:ind w:firstLine="0"/>
              <w:jc w:val="left"/>
              <w:rPr>
                <w:rFonts w:cs="Times New Roman"/>
              </w:rPr>
            </w:pPr>
            <w:r w:rsidRPr="00BE7DB7">
              <w:rPr>
                <w:rFonts w:cs="Times New Roman"/>
              </w:rPr>
              <w:t xml:space="preserve">This was the united states </w:t>
            </w:r>
            <w:r w:rsidR="003252EB" w:rsidRPr="00BE7DB7">
              <w:rPr>
                <w:rFonts w:cs="Times New Roman"/>
              </w:rPr>
              <w:t>public work program that provided employment to unemployed and unmarried men.</w:t>
            </w:r>
            <w:r w:rsidR="00353BA8" w:rsidRPr="00BE7DB7">
              <w:rPr>
                <w:rFonts w:cs="Times New Roman"/>
              </w:rPr>
              <w:t xml:space="preserve"> Initially, it only funded men aged 18 to 25 but was la</w:t>
            </w:r>
            <w:r w:rsidR="00885B02">
              <w:rPr>
                <w:rFonts w:cs="Times New Roman"/>
              </w:rPr>
              <w:t>ter expanded from 17 to 28. CCC</w:t>
            </w:r>
            <w:r w:rsidR="00353BA8" w:rsidRPr="00BE7DB7">
              <w:rPr>
                <w:rFonts w:cs="Times New Roman"/>
              </w:rPr>
              <w:t xml:space="preserve"> agency was a part of president Roosevelt project of providing unskilled labor in an attempt to ensure the conservation and development of national resources in the US. It operated for 9</w:t>
            </w:r>
            <w:r w:rsidR="00035797">
              <w:rPr>
                <w:rFonts w:cs="Times New Roman"/>
              </w:rPr>
              <w:t xml:space="preserve"> </w:t>
            </w:r>
            <w:r w:rsidR="00353BA8" w:rsidRPr="00BE7DB7">
              <w:rPr>
                <w:rFonts w:cs="Times New Roman"/>
              </w:rPr>
              <w:t>years and was able to employ about 3</w:t>
            </w:r>
            <w:r w:rsidR="00035797">
              <w:rPr>
                <w:rFonts w:cs="Times New Roman"/>
              </w:rPr>
              <w:t xml:space="preserve"> </w:t>
            </w:r>
            <w:r w:rsidR="00885B02">
              <w:rPr>
                <w:rFonts w:cs="Times New Roman"/>
              </w:rPr>
              <w:t>million men and also ensured better payment such that, t</w:t>
            </w:r>
            <w:r w:rsidR="00353BA8" w:rsidRPr="00BE7DB7">
              <w:rPr>
                <w:rFonts w:cs="Times New Roman"/>
              </w:rPr>
              <w:t>he average monthly salary</w:t>
            </w:r>
            <w:r w:rsidR="00B525B4" w:rsidRPr="00BE7DB7">
              <w:rPr>
                <w:rFonts w:cs="Times New Roman"/>
              </w:rPr>
              <w:t xml:space="preserve"> </w:t>
            </w:r>
            <w:r w:rsidR="00353BA8" w:rsidRPr="00BE7DB7">
              <w:rPr>
                <w:rFonts w:cs="Times New Roman"/>
              </w:rPr>
              <w:t xml:space="preserve">of each person was about </w:t>
            </w:r>
            <w:r w:rsidR="00035797">
              <w:rPr>
                <w:rFonts w:cs="Times New Roman"/>
              </w:rPr>
              <w:t>$</w:t>
            </w:r>
            <w:r w:rsidR="00353BA8" w:rsidRPr="00BE7DB7">
              <w:rPr>
                <w:rFonts w:cs="Times New Roman"/>
              </w:rPr>
              <w:t>3</w:t>
            </w:r>
            <w:r w:rsidR="00035797">
              <w:rPr>
                <w:rFonts w:cs="Times New Roman"/>
              </w:rPr>
              <w:t>0 and the agency would send $25</w:t>
            </w:r>
            <w:r w:rsidR="00353BA8" w:rsidRPr="00BE7DB7">
              <w:rPr>
                <w:rFonts w:cs="Times New Roman"/>
              </w:rPr>
              <w:t xml:space="preserve"> to their families since they employed men were provided with everything including</w:t>
            </w:r>
            <w:r w:rsidR="00B525B4" w:rsidRPr="00BE7DB7">
              <w:rPr>
                <w:rFonts w:cs="Times New Roman"/>
              </w:rPr>
              <w:t xml:space="preserve"> food and shelter</w:t>
            </w:r>
            <w:sdt>
              <w:sdtPr>
                <w:rPr>
                  <w:rFonts w:cs="Times New Roman"/>
                </w:rPr>
                <w:id w:val="-1019084888"/>
                <w:citation/>
              </w:sdtPr>
              <w:sdtEndPr/>
              <w:sdtContent>
                <w:r w:rsidR="00885B02">
                  <w:rPr>
                    <w:rFonts w:cs="Times New Roman"/>
                  </w:rPr>
                  <w:fldChar w:fldCharType="begin"/>
                </w:r>
                <w:r w:rsidR="00885B02">
                  <w:rPr>
                    <w:rFonts w:cs="Times New Roman"/>
                  </w:rPr>
                  <w:instrText xml:space="preserve"> CITATION Abr10 \l 1033 </w:instrText>
                </w:r>
                <w:r w:rsidR="00885B02">
                  <w:rPr>
                    <w:rFonts w:cs="Times New Roman"/>
                  </w:rPr>
                  <w:fldChar w:fldCharType="separate"/>
                </w:r>
                <w:r w:rsidR="00885B02">
                  <w:rPr>
                    <w:rFonts w:cs="Times New Roman"/>
                    <w:noProof/>
                  </w:rPr>
                  <w:t xml:space="preserve"> </w:t>
                </w:r>
                <w:r w:rsidR="00885B02" w:rsidRPr="00885B02">
                  <w:rPr>
                    <w:rFonts w:cs="Times New Roman"/>
                    <w:noProof/>
                  </w:rPr>
                  <w:t>(Abrams, 2010)</w:t>
                </w:r>
                <w:r w:rsidR="00885B02">
                  <w:rPr>
                    <w:rFonts w:cs="Times New Roman"/>
                  </w:rPr>
                  <w:fldChar w:fldCharType="end"/>
                </w:r>
              </w:sdtContent>
            </w:sdt>
            <w:r w:rsidR="00B525B4" w:rsidRPr="00BE7DB7">
              <w:rPr>
                <w:rFonts w:cs="Times New Roman"/>
              </w:rPr>
              <w:t>. This organ was not a permanent one and it ended in 1942 due to the second world war</w:t>
            </w:r>
            <w:r w:rsidR="00885B02">
              <w:rPr>
                <w:rFonts w:cs="Times New Roman"/>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 xml:space="preserve">Civil Works Administration </w:t>
            </w:r>
          </w:p>
        </w:tc>
        <w:tc>
          <w:tcPr>
            <w:tcW w:w="10035" w:type="dxa"/>
          </w:tcPr>
          <w:p w:rsidR="003D2D03" w:rsidRPr="00BE7DB7" w:rsidRDefault="00E96B3C" w:rsidP="00885B02">
            <w:pPr>
              <w:spacing w:line="240" w:lineRule="auto"/>
              <w:ind w:firstLine="0"/>
              <w:jc w:val="left"/>
              <w:rPr>
                <w:rFonts w:cs="Times New Roman"/>
              </w:rPr>
            </w:pPr>
            <w:r w:rsidRPr="00BE7DB7">
              <w:rPr>
                <w:rFonts w:cs="Times New Roman"/>
              </w:rPr>
              <w:t>This was a new deal era which was, even though a short-li</w:t>
            </w:r>
            <w:r w:rsidR="00885B02">
              <w:rPr>
                <w:rFonts w:cs="Times New Roman"/>
              </w:rPr>
              <w:t xml:space="preserve">ved, a job creation program. This agency </w:t>
            </w:r>
            <w:r w:rsidRPr="00BE7DB7">
              <w:rPr>
                <w:rFonts w:cs="Times New Roman"/>
              </w:rPr>
              <w:t>was started during the era of the Great Dep</w:t>
            </w:r>
            <w:r w:rsidR="00885B02">
              <w:rPr>
                <w:rFonts w:cs="Times New Roman"/>
              </w:rPr>
              <w:t>ression in the United States and</w:t>
            </w:r>
            <w:r w:rsidRPr="00BE7DB7">
              <w:rPr>
                <w:rFonts w:cs="Times New Roman"/>
              </w:rPr>
              <w:t xml:space="preserve"> had a task of rapidly creating jobs opportunities for millions of youths who were unemployed. The jobs created were however manual and short</w:t>
            </w:r>
            <w:r w:rsidR="00885B02">
              <w:rPr>
                <w:rFonts w:cs="Times New Roman"/>
              </w:rPr>
              <w:t xml:space="preserve"> term and temporary. CWA</w:t>
            </w:r>
            <w:r w:rsidRPr="00BE7DB7">
              <w:rPr>
                <w:rFonts w:cs="Times New Roman"/>
              </w:rPr>
              <w:t xml:space="preserve"> was started on November 8, 1933, by President </w:t>
            </w:r>
            <w:r w:rsidRPr="00BE7DB7">
              <w:rPr>
                <w:rFonts w:cs="Times New Roman"/>
              </w:rPr>
              <w:lastRenderedPageBreak/>
              <w:t>Roosevelt and Harry Hopkins was in control of the winter lasting organization. The agency was able to provide job opportunities to four million people befo</w:t>
            </w:r>
            <w:r w:rsidR="00885B02">
              <w:rPr>
                <w:rFonts w:cs="Times New Roman"/>
              </w:rPr>
              <w:t xml:space="preserve">re its end on March 31, 1934. Moreover, it </w:t>
            </w:r>
            <w:r w:rsidRPr="00BE7DB7">
              <w:rPr>
                <w:rFonts w:cs="Times New Roman"/>
              </w:rPr>
              <w:t>was also able to improve many bridges and also build new ones and houses as well, build 12 million feet of sewage pipes, repaired roads, playgrounds, and airports</w:t>
            </w:r>
            <w:sdt>
              <w:sdtPr>
                <w:rPr>
                  <w:rFonts w:cs="Times New Roman"/>
                </w:rPr>
                <w:id w:val="2003004907"/>
                <w:citation/>
              </w:sdtPr>
              <w:sdtEndPr/>
              <w:sdtContent>
                <w:r w:rsidR="00885B02">
                  <w:rPr>
                    <w:rFonts w:cs="Times New Roman"/>
                  </w:rPr>
                  <w:fldChar w:fldCharType="begin"/>
                </w:r>
                <w:r w:rsidR="00885B02">
                  <w:rPr>
                    <w:rFonts w:cs="Times New Roman"/>
                  </w:rPr>
                  <w:instrText xml:space="preserve"> CITATION Kin16 \l 1033 </w:instrText>
                </w:r>
                <w:r w:rsidR="00885B02">
                  <w:rPr>
                    <w:rFonts w:cs="Times New Roman"/>
                  </w:rPr>
                  <w:fldChar w:fldCharType="separate"/>
                </w:r>
                <w:r w:rsidR="00885B02">
                  <w:rPr>
                    <w:rFonts w:cs="Times New Roman"/>
                    <w:noProof/>
                  </w:rPr>
                  <w:t xml:space="preserve"> </w:t>
                </w:r>
                <w:r w:rsidR="00885B02" w:rsidRPr="00885B02">
                  <w:rPr>
                    <w:rFonts w:cs="Times New Roman"/>
                    <w:noProof/>
                  </w:rPr>
                  <w:t>(Kinsella, 2016)</w:t>
                </w:r>
                <w:r w:rsidR="00885B02">
                  <w:rPr>
                    <w:rFonts w:cs="Times New Roman"/>
                  </w:rPr>
                  <w:fldChar w:fldCharType="end"/>
                </w:r>
              </w:sdtContent>
            </w:sdt>
            <w:r w:rsidRPr="00BE7DB7">
              <w:rPr>
                <w:rFonts w:cs="Times New Roman"/>
              </w:rPr>
              <w:t>. This movement was however met by critics that the agency had no permanent value and therefore should be dissolved. This was the reason president Roosevelt dissolved it and replaced it with Works Progress Administration which had provided long term employment</w:t>
            </w:r>
            <w:r w:rsidR="00885B02">
              <w:rPr>
                <w:rFonts w:cs="Times New Roman"/>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lastRenderedPageBreak/>
              <w:t xml:space="preserve">Federal </w:t>
            </w:r>
            <w:r w:rsidR="00FB28B8" w:rsidRPr="00BE7DB7">
              <w:rPr>
                <w:rFonts w:cs="Times New Roman"/>
                <w:lang w:bidi="ar"/>
              </w:rPr>
              <w:t>Deposit Insurance Corp.</w:t>
            </w:r>
          </w:p>
        </w:tc>
        <w:tc>
          <w:tcPr>
            <w:tcW w:w="10035" w:type="dxa"/>
          </w:tcPr>
          <w:p w:rsidR="003D2D03" w:rsidRPr="00BE7DB7" w:rsidRDefault="00E96B3C" w:rsidP="00106061">
            <w:pPr>
              <w:spacing w:line="240" w:lineRule="auto"/>
              <w:ind w:firstLine="0"/>
              <w:jc w:val="left"/>
              <w:rPr>
                <w:rFonts w:cs="Times New Roman"/>
              </w:rPr>
            </w:pPr>
            <w:r w:rsidRPr="00BE7DB7">
              <w:rPr>
                <w:rFonts w:cs="Times New Roman"/>
              </w:rPr>
              <w:t xml:space="preserve">FDIC was an American corporation created by the Banking Act of 1933 and enacted during the Great Depression. The main role of FDIC was to provide insurance to the money depositors in the United States' commercial banks and other money lending institutions. It was also expected to restore trust in the banking system of America. </w:t>
            </w:r>
            <w:r w:rsidR="00D57BC5" w:rsidRPr="00BE7DB7">
              <w:rPr>
                <w:rFonts w:cs="Times New Roman"/>
              </w:rPr>
              <w:t>On the period before the creation of FDIC, almost one-third of the US banks had failed. Investors could not trust t</w:t>
            </w:r>
            <w:r w:rsidR="00885B02">
              <w:rPr>
                <w:rFonts w:cs="Times New Roman"/>
              </w:rPr>
              <w:t>heir investments in the banks thus, b</w:t>
            </w:r>
            <w:r w:rsidR="00D57BC5" w:rsidRPr="00BE7DB7">
              <w:rPr>
                <w:rFonts w:cs="Times New Roman"/>
              </w:rPr>
              <w:t>efore the creation of FDIC, the unusually limit p</w:t>
            </w:r>
            <w:r w:rsidR="00BE7DB7" w:rsidRPr="00BE7DB7">
              <w:rPr>
                <w:rFonts w:cs="Times New Roman"/>
              </w:rPr>
              <w:t>er ownership category was $2,500</w:t>
            </w:r>
            <w:sdt>
              <w:sdtPr>
                <w:rPr>
                  <w:rFonts w:cs="Times New Roman"/>
                </w:rPr>
                <w:id w:val="-64878664"/>
                <w:citation/>
              </w:sdtPr>
              <w:sdtEndPr/>
              <w:sdtContent>
                <w:r w:rsidR="00DE23A7">
                  <w:rPr>
                    <w:rFonts w:cs="Times New Roman"/>
                  </w:rPr>
                  <w:fldChar w:fldCharType="begin"/>
                </w:r>
                <w:r w:rsidR="00DE23A7">
                  <w:rPr>
                    <w:rFonts w:cs="Times New Roman"/>
                  </w:rPr>
                  <w:instrText xml:space="preserve"> CITATION Hog16 \l 1033 </w:instrText>
                </w:r>
                <w:r w:rsidR="00DE23A7">
                  <w:rPr>
                    <w:rFonts w:cs="Times New Roman"/>
                  </w:rPr>
                  <w:fldChar w:fldCharType="separate"/>
                </w:r>
                <w:r w:rsidR="00DE23A7">
                  <w:rPr>
                    <w:rFonts w:cs="Times New Roman"/>
                    <w:noProof/>
                  </w:rPr>
                  <w:t xml:space="preserve"> </w:t>
                </w:r>
                <w:r w:rsidR="00DE23A7" w:rsidRPr="00DE23A7">
                  <w:rPr>
                    <w:rFonts w:cs="Times New Roman"/>
                    <w:noProof/>
                  </w:rPr>
                  <w:t>(Hogan, 2016)</w:t>
                </w:r>
                <w:r w:rsidR="00DE23A7">
                  <w:rPr>
                    <w:rFonts w:cs="Times New Roman"/>
                  </w:rPr>
                  <w:fldChar w:fldCharType="end"/>
                </w:r>
              </w:sdtContent>
            </w:sdt>
            <w:r w:rsidR="00D57BC5" w:rsidRPr="00BE7DB7">
              <w:rPr>
                <w:rFonts w:cs="Times New Roman"/>
              </w:rPr>
              <w:t xml:space="preserve"> compared to after the passage of the Reform and Consumer Protection Act in 2011 where now the insurance limit per ownership category </w:t>
            </w:r>
            <w:r w:rsidR="00BE7DB7" w:rsidRPr="00BE7DB7">
              <w:rPr>
                <w:rFonts w:cs="Times New Roman"/>
              </w:rPr>
              <w:t>was increased to $250,000</w:t>
            </w:r>
            <w:r w:rsidR="00D57BC5" w:rsidRPr="00BE7DB7">
              <w:rPr>
                <w:rFonts w:cs="Times New Roman"/>
              </w:rPr>
              <w:t>. Today FDIC insures more than 5,670 institutions</w:t>
            </w:r>
            <w:r w:rsidR="00DE23A7">
              <w:rPr>
                <w:rFonts w:cs="Times New Roman"/>
              </w:rPr>
              <w:t xml:space="preserve"> furthermore, it</w:t>
            </w:r>
            <w:r w:rsidR="00D57BC5" w:rsidRPr="00BE7DB7">
              <w:rPr>
                <w:rFonts w:cs="Times New Roman"/>
              </w:rPr>
              <w:t xml:space="preserve"> actively supervises and monitors money institutions for safety and performs other consumer protection practices as well as managing the receiverships from the members of failed banks</w:t>
            </w:r>
          </w:p>
          <w:p w:rsidR="003D2D03" w:rsidRPr="00BE7DB7" w:rsidRDefault="003D2D03" w:rsidP="00106061">
            <w:pPr>
              <w:spacing w:line="240" w:lineRule="auto"/>
              <w:ind w:firstLine="0"/>
              <w:jc w:val="left"/>
              <w:rPr>
                <w:rFonts w:cs="Times New Roman"/>
              </w:rPr>
            </w:pP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Federal Emergency Relief Act</w:t>
            </w:r>
          </w:p>
        </w:tc>
        <w:tc>
          <w:tcPr>
            <w:tcW w:w="10035" w:type="dxa"/>
          </w:tcPr>
          <w:p w:rsidR="003D2D03" w:rsidRPr="00BE7DB7" w:rsidRDefault="00E96B3C" w:rsidP="00DE23A7">
            <w:pPr>
              <w:spacing w:line="240" w:lineRule="auto"/>
              <w:ind w:firstLine="0"/>
              <w:jc w:val="left"/>
              <w:rPr>
                <w:rFonts w:cs="Times New Roman"/>
              </w:rPr>
            </w:pPr>
            <w:r w:rsidRPr="00BE7DB7">
              <w:rPr>
                <w:rFonts w:cs="Times New Roman"/>
              </w:rPr>
              <w:t>This was a corporation created by president Roosevelt</w:t>
            </w:r>
            <w:r w:rsidR="000D72EF" w:rsidRPr="00BE7DB7">
              <w:rPr>
                <w:rFonts w:cs="Times New Roman"/>
              </w:rPr>
              <w:t xml:space="preserve"> to replace the Emergency Relief Administration (ERA) which he had created in 1933. Roosevelt had requested the Congress to set up FERA so that it could give grants to the states to operate relief programs. This was initially done by the New York state program Temporary Emergency Relief Administration (TERA)</w:t>
            </w:r>
            <w:sdt>
              <w:sdtPr>
                <w:rPr>
                  <w:rFonts w:cs="Times New Roman"/>
                </w:rPr>
                <w:id w:val="-1465568562"/>
                <w:citation/>
              </w:sdtPr>
              <w:sdtEndPr/>
              <w:sdtContent>
                <w:r w:rsidR="00DE23A7">
                  <w:rPr>
                    <w:rFonts w:cs="Times New Roman"/>
                  </w:rPr>
                  <w:fldChar w:fldCharType="begin"/>
                </w:r>
                <w:r w:rsidR="00DE23A7">
                  <w:rPr>
                    <w:rFonts w:cs="Times New Roman"/>
                  </w:rPr>
                  <w:instrText xml:space="preserve"> CITATION And07 \l 1033 </w:instrText>
                </w:r>
                <w:r w:rsidR="00DE23A7">
                  <w:rPr>
                    <w:rFonts w:cs="Times New Roman"/>
                  </w:rPr>
                  <w:fldChar w:fldCharType="separate"/>
                </w:r>
                <w:r w:rsidR="00DE23A7">
                  <w:rPr>
                    <w:rFonts w:cs="Times New Roman"/>
                    <w:noProof/>
                  </w:rPr>
                  <w:t xml:space="preserve"> </w:t>
                </w:r>
                <w:r w:rsidR="00DE23A7" w:rsidRPr="00DE23A7">
                  <w:rPr>
                    <w:rFonts w:cs="Times New Roman"/>
                    <w:noProof/>
                  </w:rPr>
                  <w:t>(Jones, 2007)</w:t>
                </w:r>
                <w:r w:rsidR="00DE23A7">
                  <w:rPr>
                    <w:rFonts w:cs="Times New Roman"/>
                  </w:rPr>
                  <w:fldChar w:fldCharType="end"/>
                </w:r>
              </w:sdtContent>
            </w:sdt>
            <w:r w:rsidR="000D72EF" w:rsidRPr="00BE7DB7">
              <w:rPr>
                <w:rFonts w:cs="Times New Roman"/>
              </w:rPr>
              <w:t>.</w:t>
            </w:r>
            <w:r w:rsidR="003A2E99" w:rsidRPr="00BE7DB7">
              <w:rPr>
                <w:rFonts w:cs="Times New Roman"/>
              </w:rPr>
              <w:t xml:space="preserve"> When FERA was created</w:t>
            </w:r>
            <w:r w:rsidR="00DE23A7">
              <w:rPr>
                <w:rFonts w:cs="Times New Roman"/>
              </w:rPr>
              <w:t>,</w:t>
            </w:r>
            <w:r w:rsidR="003A2E99" w:rsidRPr="00BE7DB7">
              <w:rPr>
                <w:rFonts w:cs="Times New Roman"/>
              </w:rPr>
              <w:t xml:space="preserve"> its main goal was to create new job opportunities for </w:t>
            </w:r>
            <w:r w:rsidR="007F69BA" w:rsidRPr="00BE7DB7">
              <w:rPr>
                <w:rFonts w:cs="Times New Roman"/>
              </w:rPr>
              <w:t>unskilled</w:t>
            </w:r>
            <w:r w:rsidR="003A2E99" w:rsidRPr="00BE7DB7">
              <w:rPr>
                <w:rFonts w:cs="Times New Roman"/>
              </w:rPr>
              <w:t xml:space="preserve"> people in both local and state government</w:t>
            </w:r>
            <w:r w:rsidR="000C4B73" w:rsidRPr="00BE7DB7">
              <w:rPr>
                <w:rFonts w:cs="Times New Roman"/>
              </w:rPr>
              <w:t>. FERA was able to provide jobs for mo</w:t>
            </w:r>
            <w:r w:rsidR="00DE23A7">
              <w:rPr>
                <w:rFonts w:cs="Times New Roman"/>
              </w:rPr>
              <w:t>re than 20 million people however, it was</w:t>
            </w:r>
            <w:r w:rsidR="00936FF6" w:rsidRPr="00BE7DB7">
              <w:rPr>
                <w:rFonts w:cs="Times New Roman"/>
              </w:rPr>
              <w:t xml:space="preserve"> faced with high unemployment of the public in the winter of 1933-34 and thus it gave </w:t>
            </w:r>
            <w:r w:rsidR="00936FF6" w:rsidRPr="00BE7DB7">
              <w:rPr>
                <w:rFonts w:cs="Times New Roman"/>
              </w:rPr>
              <w:lastRenderedPageBreak/>
              <w:t>birth to the Civil Works Administration (CWA). In 1935 after new federal corporations were constructed - Works Progress Administration (WPA) and Social Security Administration (SSA), FERA was shut down as its work had been entirely taken by these two institutions</w:t>
            </w:r>
            <w:r w:rsidR="00DE23A7">
              <w:rPr>
                <w:rFonts w:cs="Times New Roman"/>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lastRenderedPageBreak/>
              <w:t xml:space="preserve">Federal </w:t>
            </w:r>
            <w:r w:rsidR="00FB28B8" w:rsidRPr="00BE7DB7">
              <w:rPr>
                <w:rFonts w:cs="Times New Roman"/>
                <w:lang w:bidi="ar"/>
              </w:rPr>
              <w:t>Housing Administration</w:t>
            </w:r>
          </w:p>
        </w:tc>
        <w:tc>
          <w:tcPr>
            <w:tcW w:w="10035" w:type="dxa"/>
          </w:tcPr>
          <w:p w:rsidR="003D2D03" w:rsidRPr="00BE7DB7" w:rsidRDefault="00E96B3C" w:rsidP="00DE23A7">
            <w:pPr>
              <w:spacing w:line="240" w:lineRule="auto"/>
              <w:ind w:firstLine="0"/>
              <w:jc w:val="left"/>
              <w:rPr>
                <w:rFonts w:cs="Times New Roman"/>
              </w:rPr>
            </w:pPr>
            <w:r w:rsidRPr="00BE7DB7">
              <w:rPr>
                <w:rFonts w:cs="Times New Roman"/>
              </w:rPr>
              <w:t>This was an American agency corporation created for providing mortgage insurances to the approved house lenders that met the application requirements. FHA loans were mostly for those people of the low social class who could not readily qualify for the normal loa</w:t>
            </w:r>
            <w:r w:rsidR="005E49C0" w:rsidRPr="00BE7DB7">
              <w:rPr>
                <w:rFonts w:cs="Times New Roman"/>
              </w:rPr>
              <w:t>ns eve</w:t>
            </w:r>
            <w:r w:rsidR="00DE23A7">
              <w:rPr>
                <w:rFonts w:cs="Times New Roman"/>
              </w:rPr>
              <w:t>n the traditional mortgage ones. In addition to that, it</w:t>
            </w:r>
            <w:r w:rsidR="005E49C0" w:rsidRPr="00BE7DB7">
              <w:rPr>
                <w:rFonts w:cs="Times New Roman"/>
              </w:rPr>
              <w:t xml:space="preserve"> was able to operate from self-generated income thus it was not a burden to the taxpayers</w:t>
            </w:r>
            <w:sdt>
              <w:sdtPr>
                <w:rPr>
                  <w:rFonts w:cs="Times New Roman"/>
                </w:rPr>
                <w:id w:val="50511160"/>
                <w:citation/>
              </w:sdtPr>
              <w:sdtEndPr/>
              <w:sdtContent>
                <w:r w:rsidR="00DE23A7">
                  <w:rPr>
                    <w:rFonts w:cs="Times New Roman"/>
                  </w:rPr>
                  <w:fldChar w:fldCharType="begin"/>
                </w:r>
                <w:r w:rsidR="00DE23A7">
                  <w:rPr>
                    <w:rFonts w:cs="Times New Roman"/>
                  </w:rPr>
                  <w:instrText xml:space="preserve"> CITATION Glo16 \l 1033 </w:instrText>
                </w:r>
                <w:r w:rsidR="00DE23A7">
                  <w:rPr>
                    <w:rFonts w:cs="Times New Roman"/>
                  </w:rPr>
                  <w:fldChar w:fldCharType="separate"/>
                </w:r>
                <w:r w:rsidR="00DE23A7">
                  <w:rPr>
                    <w:rFonts w:cs="Times New Roman"/>
                    <w:noProof/>
                  </w:rPr>
                  <w:t xml:space="preserve"> </w:t>
                </w:r>
                <w:r w:rsidR="00DE23A7" w:rsidRPr="00DE23A7">
                  <w:rPr>
                    <w:rFonts w:cs="Times New Roman"/>
                    <w:noProof/>
                  </w:rPr>
                  <w:t>(Glock, 2016)</w:t>
                </w:r>
                <w:r w:rsidR="00DE23A7">
                  <w:rPr>
                    <w:rFonts w:cs="Times New Roman"/>
                  </w:rPr>
                  <w:fldChar w:fldCharType="end"/>
                </w:r>
              </w:sdtContent>
            </w:sdt>
            <w:r w:rsidR="005E49C0" w:rsidRPr="00BE7DB7">
              <w:rPr>
                <w:rFonts w:cs="Times New Roman"/>
              </w:rPr>
              <w:t>. Secondly, it also provided a significant boost to the American economy by sponsoring home development, which boosted school attendance and jobs to the local communities</w:t>
            </w:r>
            <w:r w:rsidR="00DE23A7">
              <w:rPr>
                <w:rFonts w:cs="Times New Roman"/>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National Industrial Recovery Act</w:t>
            </w:r>
          </w:p>
        </w:tc>
        <w:tc>
          <w:tcPr>
            <w:tcW w:w="10035" w:type="dxa"/>
          </w:tcPr>
          <w:p w:rsidR="003D2D03" w:rsidRPr="00BE7DB7" w:rsidRDefault="00E96B3C" w:rsidP="00DE23A7">
            <w:pPr>
              <w:spacing w:line="240" w:lineRule="auto"/>
              <w:ind w:firstLine="0"/>
              <w:jc w:val="left"/>
              <w:rPr>
                <w:rFonts w:cs="Times New Roman"/>
              </w:rPr>
            </w:pPr>
            <w:r w:rsidRPr="00BE7DB7">
              <w:rPr>
                <w:rFonts w:cs="Times New Roman"/>
              </w:rPr>
              <w:t xml:space="preserve">NIRA was a government agency which was basically a </w:t>
            </w:r>
            <w:r w:rsidR="00B812A2" w:rsidRPr="00BE7DB7">
              <w:rPr>
                <w:rFonts w:cs="Times New Roman"/>
              </w:rPr>
              <w:t>labor</w:t>
            </w:r>
            <w:r w:rsidRPr="00BE7DB7">
              <w:rPr>
                <w:rFonts w:cs="Times New Roman"/>
              </w:rPr>
              <w:t xml:space="preserve"> and consumer law passed by the Congress empowering the president with the power to be able to control and regulate industrial operations so as to result to fair prices and fair wages that would stimulate the American economy.</w:t>
            </w:r>
            <w:r w:rsidR="00B812A2" w:rsidRPr="00BE7DB7">
              <w:rPr>
                <w:rFonts w:cs="Times New Roman"/>
              </w:rPr>
              <w:t xml:space="preserve"> NIRA was able to create a public work program in 1933 which was known as Public Works Administration</w:t>
            </w:r>
            <w:r w:rsidR="00DE23A7">
              <w:rPr>
                <w:rFonts w:cs="Times New Roman"/>
              </w:rPr>
              <w:t xml:space="preserve"> (PWA)</w:t>
            </w:r>
            <w:r w:rsidR="00B812A2" w:rsidRPr="00BE7DB7">
              <w:rPr>
                <w:rFonts w:cs="Times New Roman"/>
              </w:rPr>
              <w:t xml:space="preserve"> which was different from the one created in 1935</w:t>
            </w:r>
            <w:sdt>
              <w:sdtPr>
                <w:rPr>
                  <w:rFonts w:cs="Times New Roman"/>
                </w:rPr>
                <w:id w:val="-818035356"/>
                <w:citation/>
              </w:sdtPr>
              <w:sdtEndPr/>
              <w:sdtContent>
                <w:r w:rsidR="00DE23A7">
                  <w:rPr>
                    <w:rFonts w:cs="Times New Roman"/>
                  </w:rPr>
                  <w:fldChar w:fldCharType="begin"/>
                </w:r>
                <w:r w:rsidR="00DE23A7">
                  <w:rPr>
                    <w:rFonts w:cs="Times New Roman"/>
                  </w:rPr>
                  <w:instrText xml:space="preserve"> CITATION Vic14 \l 1033 </w:instrText>
                </w:r>
                <w:r w:rsidR="00DE23A7">
                  <w:rPr>
                    <w:rFonts w:cs="Times New Roman"/>
                  </w:rPr>
                  <w:fldChar w:fldCharType="separate"/>
                </w:r>
                <w:r w:rsidR="00DE23A7">
                  <w:rPr>
                    <w:rFonts w:cs="Times New Roman"/>
                    <w:noProof/>
                  </w:rPr>
                  <w:t xml:space="preserve"> </w:t>
                </w:r>
                <w:r w:rsidR="00DE23A7" w:rsidRPr="00DE23A7">
                  <w:rPr>
                    <w:rFonts w:cs="Times New Roman"/>
                    <w:noProof/>
                  </w:rPr>
                  <w:t>(Vickers, 2014)</w:t>
                </w:r>
                <w:r w:rsidR="00DE23A7">
                  <w:rPr>
                    <w:rFonts w:cs="Times New Roman"/>
                  </w:rPr>
                  <w:fldChar w:fldCharType="end"/>
                </w:r>
              </w:sdtContent>
            </w:sdt>
            <w:r w:rsidR="00B812A2" w:rsidRPr="00BE7DB7">
              <w:rPr>
                <w:rFonts w:cs="Times New Roman"/>
              </w:rPr>
              <w:t xml:space="preserve">. NIRA was divided into two sections. The first one was devotion to the industrial recovery, guaranteed trade union rights to encourage trade, regulation of working standard to all city workers and also regulation of </w:t>
            </w:r>
            <w:r w:rsidR="00612DE7" w:rsidRPr="00BE7DB7">
              <w:rPr>
                <w:rFonts w:cs="Times New Roman"/>
              </w:rPr>
              <w:t>processes</w:t>
            </w:r>
            <w:r w:rsidR="00B812A2" w:rsidRPr="00BE7DB7">
              <w:rPr>
                <w:rFonts w:cs="Times New Roman"/>
              </w:rPr>
              <w:t xml:space="preserve"> of petroleum </w:t>
            </w:r>
            <w:r w:rsidR="00612DE7" w:rsidRPr="00BE7DB7">
              <w:rPr>
                <w:rFonts w:cs="Times New Roman"/>
              </w:rPr>
              <w:t>products</w:t>
            </w:r>
            <w:r w:rsidR="00B812A2" w:rsidRPr="00BE7DB7">
              <w:rPr>
                <w:rFonts w:cs="Times New Roman"/>
              </w:rPr>
              <w:t xml:space="preserve">. The second part had the duty of outlining the projects and </w:t>
            </w:r>
            <w:r w:rsidR="00612DE7" w:rsidRPr="00BE7DB7">
              <w:rPr>
                <w:rFonts w:cs="Times New Roman"/>
              </w:rPr>
              <w:t>finding funding</w:t>
            </w:r>
            <w:r w:rsidR="00B812A2" w:rsidRPr="00BE7DB7">
              <w:rPr>
                <w:rFonts w:cs="Times New Roman"/>
              </w:rPr>
              <w:t xml:space="preserve"> opportunities for the operations.</w:t>
            </w:r>
            <w:r w:rsidR="00612DE7" w:rsidRPr="00BE7DB7">
              <w:rPr>
                <w:rFonts w:cs="Times New Roman"/>
              </w:rPr>
              <w:t xml:space="preserve"> This corporation had high numbers of regulations generated by the authorit</w:t>
            </w:r>
            <w:r w:rsidR="00921152" w:rsidRPr="00BE7DB7">
              <w:rPr>
                <w:rFonts w:cs="Times New Roman"/>
              </w:rPr>
              <w:t>y given to the president and thu</w:t>
            </w:r>
            <w:r w:rsidR="00612DE7" w:rsidRPr="00BE7DB7">
              <w:rPr>
                <w:rFonts w:cs="Times New Roman"/>
              </w:rPr>
              <w:t>s it caused president Roosevelt to lose a lot of political support. NIRA ended in 1935 in June</w:t>
            </w:r>
            <w:r w:rsidR="00DE23A7">
              <w:rPr>
                <w:rFonts w:cs="Times New Roman"/>
              </w:rPr>
              <w:t xml:space="preserve"> with its policy being </w:t>
            </w:r>
            <w:r w:rsidR="00612DE7" w:rsidRPr="00BE7DB7">
              <w:rPr>
                <w:rFonts w:cs="Times New Roman"/>
              </w:rPr>
              <w:t>considered as a large failure even by today’s historians. Among the reasons given for its failures was that it led to the development of monopolies and was poorly administered and lacked support for businesses</w:t>
            </w:r>
            <w:r w:rsidR="00DE23A7">
              <w:rPr>
                <w:rFonts w:cs="Times New Roman"/>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National Recovery Administration</w:t>
            </w:r>
          </w:p>
        </w:tc>
        <w:tc>
          <w:tcPr>
            <w:tcW w:w="10035" w:type="dxa"/>
          </w:tcPr>
          <w:p w:rsidR="003D2D03" w:rsidRPr="00BE7DB7" w:rsidRDefault="00E96B3C" w:rsidP="00106061">
            <w:pPr>
              <w:spacing w:line="240" w:lineRule="auto"/>
              <w:ind w:firstLine="0"/>
              <w:jc w:val="left"/>
              <w:rPr>
                <w:rFonts w:cs="Times New Roman"/>
              </w:rPr>
            </w:pPr>
            <w:r w:rsidRPr="00BE7DB7">
              <w:rPr>
                <w:rFonts w:cs="Times New Roman"/>
              </w:rPr>
              <w:t>This was an agency by president Roosevelt in 1933 so as to eliminate “throat competition” and bring about fair competition</w:t>
            </w:r>
            <w:r w:rsidR="00857F53" w:rsidRPr="00BE7DB7">
              <w:rPr>
                <w:rFonts w:cs="Times New Roman"/>
              </w:rPr>
              <w:t xml:space="preserve"> in the business.</w:t>
            </w:r>
            <w:r w:rsidR="007F423D" w:rsidRPr="00BE7DB7">
              <w:rPr>
                <w:rFonts w:cs="Times New Roman"/>
              </w:rPr>
              <w:t xml:space="preserve"> It was mainly symbolized b</w:t>
            </w:r>
            <w:r w:rsidR="00DE23A7">
              <w:rPr>
                <w:rFonts w:cs="Times New Roman"/>
              </w:rPr>
              <w:t>y the blue eagle on its logo and</w:t>
            </w:r>
            <w:r w:rsidR="00AA47C8" w:rsidRPr="00BE7DB7">
              <w:rPr>
                <w:rFonts w:cs="Times New Roman"/>
              </w:rPr>
              <w:t xml:space="preserve"> had a voluntary membership.</w:t>
            </w:r>
            <w:r w:rsidR="00DE23A7">
              <w:rPr>
                <w:rFonts w:cs="Times New Roman"/>
              </w:rPr>
              <w:t xml:space="preserve"> Firstly, it</w:t>
            </w:r>
            <w:r w:rsidR="00857F53" w:rsidRPr="00BE7DB7">
              <w:rPr>
                <w:rFonts w:cs="Times New Roman"/>
              </w:rPr>
              <w:t xml:space="preserve"> had a task of bringing industries, labor and the government </w:t>
            </w:r>
            <w:r w:rsidR="00857F53" w:rsidRPr="00BE7DB7">
              <w:rPr>
                <w:rFonts w:cs="Times New Roman"/>
              </w:rPr>
              <w:lastRenderedPageBreak/>
              <w:t>together so as to e</w:t>
            </w:r>
            <w:r w:rsidR="00DE23A7">
              <w:rPr>
                <w:rFonts w:cs="Times New Roman"/>
              </w:rPr>
              <w:t>liminated unfair competition. Secondly, it</w:t>
            </w:r>
            <w:r w:rsidR="00857F53" w:rsidRPr="00BE7DB7">
              <w:rPr>
                <w:rFonts w:cs="Times New Roman"/>
              </w:rPr>
              <w:t xml:space="preserve"> was enacted aft</w:t>
            </w:r>
            <w:r w:rsidR="007F423D" w:rsidRPr="00BE7DB7">
              <w:rPr>
                <w:rFonts w:cs="Times New Roman"/>
              </w:rPr>
              <w:t>er the failure of NIRA and regulated the minimum wages of laborers, the maximum working hours per week as well as the maximum costs of commodities. NRA was outlawed by the US Supreme Court in 1935 because it infringed the separation of powers</w:t>
            </w:r>
            <w:sdt>
              <w:sdtPr>
                <w:rPr>
                  <w:rFonts w:cs="Times New Roman"/>
                </w:rPr>
                <w:id w:val="554812667"/>
                <w:citation/>
              </w:sdtPr>
              <w:sdtEndPr/>
              <w:sdtContent>
                <w:r w:rsidR="0087650E">
                  <w:rPr>
                    <w:rFonts w:cs="Times New Roman"/>
                  </w:rPr>
                  <w:fldChar w:fldCharType="begin"/>
                </w:r>
                <w:r w:rsidR="0087650E">
                  <w:rPr>
                    <w:rFonts w:cs="Times New Roman"/>
                  </w:rPr>
                  <w:instrText xml:space="preserve"> CITATION Chi13 \l 1033 </w:instrText>
                </w:r>
                <w:r w:rsidR="0087650E">
                  <w:rPr>
                    <w:rFonts w:cs="Times New Roman"/>
                  </w:rPr>
                  <w:fldChar w:fldCharType="separate"/>
                </w:r>
                <w:r w:rsidR="0087650E">
                  <w:rPr>
                    <w:rFonts w:cs="Times New Roman"/>
                    <w:noProof/>
                  </w:rPr>
                  <w:t xml:space="preserve"> </w:t>
                </w:r>
                <w:r w:rsidR="0087650E" w:rsidRPr="0087650E">
                  <w:rPr>
                    <w:rFonts w:cs="Times New Roman"/>
                    <w:noProof/>
                  </w:rPr>
                  <w:t>(Chicu, 2013)</w:t>
                </w:r>
                <w:r w:rsidR="0087650E">
                  <w:rPr>
                    <w:rFonts w:cs="Times New Roman"/>
                  </w:rPr>
                  <w:fldChar w:fldCharType="end"/>
                </w:r>
              </w:sdtContent>
            </w:sdt>
            <w:r w:rsidR="007F423D" w:rsidRPr="00BE7DB7">
              <w:rPr>
                <w:rFonts w:cs="Times New Roman"/>
              </w:rPr>
              <w:t>. However, after it stopped operating, most of its contents reappeared in the National Labor Relations Act which was formed soon after the dissolving NRA</w:t>
            </w:r>
            <w:r w:rsidR="0087650E">
              <w:rPr>
                <w:rFonts w:cs="Times New Roman"/>
              </w:rPr>
              <w:t>.</w:t>
            </w:r>
          </w:p>
          <w:p w:rsidR="003D2D03" w:rsidRPr="00BE7DB7" w:rsidRDefault="003D2D03" w:rsidP="00106061">
            <w:pPr>
              <w:spacing w:line="240" w:lineRule="auto"/>
              <w:ind w:firstLine="0"/>
              <w:jc w:val="left"/>
              <w:rPr>
                <w:rFonts w:cs="Times New Roman"/>
              </w:rPr>
            </w:pP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lastRenderedPageBreak/>
              <w:t>Public Works Administration</w:t>
            </w:r>
          </w:p>
        </w:tc>
        <w:tc>
          <w:tcPr>
            <w:tcW w:w="10035" w:type="dxa"/>
          </w:tcPr>
          <w:p w:rsidR="003D2D03" w:rsidRPr="00BE7DB7" w:rsidRDefault="00E96B3C" w:rsidP="0076326D">
            <w:pPr>
              <w:spacing w:line="240" w:lineRule="auto"/>
              <w:ind w:firstLine="0"/>
              <w:jc w:val="left"/>
              <w:rPr>
                <w:rFonts w:cs="Times New Roman"/>
              </w:rPr>
            </w:pPr>
            <w:r w:rsidRPr="00BE7DB7">
              <w:rPr>
                <w:rFonts w:cs="Times New Roman"/>
              </w:rPr>
              <w:t>This was an agency, part of the New Deal of 1933 which concentrated with large scale public wo</w:t>
            </w:r>
            <w:r w:rsidR="0087650E">
              <w:rPr>
                <w:rFonts w:cs="Times New Roman"/>
              </w:rPr>
              <w:t>rks of construction. PWA was also</w:t>
            </w:r>
            <w:r w:rsidRPr="00BE7DB7">
              <w:rPr>
                <w:rFonts w:cs="Times New Roman"/>
              </w:rPr>
              <w:t xml:space="preserve"> created in response to the great depression by the National Industrial Recovery Act in June 1933. Originally it was named as Federal Emergency Administration of Public Works but later in1935 before its shutdown in 1940. Its operations were based on creating public structures such as dams, roads,</w:t>
            </w:r>
            <w:r w:rsidR="0087650E">
              <w:rPr>
                <w:rFonts w:cs="Times New Roman"/>
              </w:rPr>
              <w:t xml:space="preserve"> and even hospitals and </w:t>
            </w:r>
            <w:r w:rsidRPr="00BE7DB7">
              <w:rPr>
                <w:rFonts w:cs="Times New Roman"/>
              </w:rPr>
              <w:t>also provided employment, stabilized the purchasing power of the common citizens and helped to review the economy</w:t>
            </w:r>
            <w:sdt>
              <w:sdtPr>
                <w:rPr>
                  <w:rFonts w:cs="Times New Roman"/>
                </w:rPr>
                <w:id w:val="-1661997235"/>
                <w:citation/>
              </w:sdtPr>
              <w:sdtEndPr/>
              <w:sdtContent>
                <w:r w:rsidR="0076326D">
                  <w:rPr>
                    <w:rFonts w:cs="Times New Roman"/>
                  </w:rPr>
                  <w:fldChar w:fldCharType="begin"/>
                </w:r>
                <w:r w:rsidR="0076326D">
                  <w:rPr>
                    <w:rFonts w:cs="Times New Roman"/>
                  </w:rPr>
                  <w:instrText xml:space="preserve"> CITATION Mul09 \l 1033 </w:instrText>
                </w:r>
                <w:r w:rsidR="0076326D">
                  <w:rPr>
                    <w:rFonts w:cs="Times New Roman"/>
                  </w:rPr>
                  <w:fldChar w:fldCharType="separate"/>
                </w:r>
                <w:r w:rsidR="0076326D">
                  <w:rPr>
                    <w:rFonts w:cs="Times New Roman"/>
                    <w:noProof/>
                  </w:rPr>
                  <w:t xml:space="preserve"> </w:t>
                </w:r>
                <w:r w:rsidR="0076326D" w:rsidRPr="0076326D">
                  <w:rPr>
                    <w:rFonts w:cs="Times New Roman"/>
                    <w:noProof/>
                  </w:rPr>
                  <w:t>(Mulcahy, 2009)</w:t>
                </w:r>
                <w:r w:rsidR="0076326D">
                  <w:rPr>
                    <w:rFonts w:cs="Times New Roman"/>
                  </w:rPr>
                  <w:fldChar w:fldCharType="end"/>
                </w:r>
              </w:sdtContent>
            </w:sdt>
            <w:r w:rsidRPr="00BE7DB7">
              <w:rPr>
                <w:rFonts w:cs="Times New Roman"/>
              </w:rPr>
              <w:t xml:space="preserve">. This movement focused on large </w:t>
            </w:r>
            <w:r w:rsidR="000135ED" w:rsidRPr="00BE7DB7">
              <w:rPr>
                <w:rFonts w:cs="Times New Roman"/>
              </w:rPr>
              <w:t xml:space="preserve">projects unlike the other </w:t>
            </w:r>
            <w:r w:rsidR="000135ED" w:rsidRPr="00BE7DB7">
              <w:rPr>
                <w:rFonts w:cs="Times New Roman"/>
                <w:lang w:bidi="ar"/>
              </w:rPr>
              <w:t xml:space="preserve">Public Works Administration headed by </w:t>
            </w:r>
            <w:r w:rsidR="009321F9" w:rsidRPr="00BE7DB7">
              <w:rPr>
                <w:rFonts w:cs="Times New Roman"/>
                <w:lang w:bidi="ar"/>
              </w:rPr>
              <w:t>Hopkins which focused on small projects. In its creation of infrastructure, it had a total expenditure of 7 billion dollars</w:t>
            </w:r>
            <w:r w:rsidR="0076326D">
              <w:rPr>
                <w:rFonts w:cs="Times New Roman"/>
                <w:lang w:bidi="ar"/>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Securities &amp; Exchange Commission</w:t>
            </w:r>
          </w:p>
        </w:tc>
        <w:tc>
          <w:tcPr>
            <w:tcW w:w="10035" w:type="dxa"/>
          </w:tcPr>
          <w:p w:rsidR="003D2D03" w:rsidRPr="00BE7DB7" w:rsidRDefault="00E96B3C" w:rsidP="00106061">
            <w:pPr>
              <w:spacing w:line="240" w:lineRule="auto"/>
              <w:ind w:firstLine="0"/>
              <w:jc w:val="left"/>
              <w:rPr>
                <w:rFonts w:cs="Times New Roman"/>
              </w:rPr>
            </w:pPr>
            <w:r w:rsidRPr="00BE7DB7">
              <w:rPr>
                <w:rFonts w:cs="Times New Roman"/>
              </w:rPr>
              <w:t xml:space="preserve">This was an independent organ which had the whole responsibility of </w:t>
            </w:r>
            <w:r w:rsidR="0076326D">
              <w:rPr>
                <w:rFonts w:cs="Times New Roman"/>
              </w:rPr>
              <w:t xml:space="preserve">controlling securities and </w:t>
            </w:r>
            <w:r w:rsidR="003C26C1" w:rsidRPr="00BE7DB7">
              <w:rPr>
                <w:rFonts w:cs="Times New Roman"/>
              </w:rPr>
              <w:t>ensured that the state rules on securities were adhered to as well as proposing to the Congress new rules. It was created by the Securities Exchange Act of 1934. SEC was entitled to enforcing the following acts. Securities Act of 1933, the Trust Indenture Act of 1939, the Investment Company Act of 1940, the Investment Advisers Act of 1940, the Sarbanes–Oxley Act of 2002</w:t>
            </w:r>
            <w:sdt>
              <w:sdtPr>
                <w:rPr>
                  <w:rFonts w:cs="Times New Roman"/>
                </w:rPr>
                <w:id w:val="-945536845"/>
                <w:citation/>
              </w:sdtPr>
              <w:sdtEndPr/>
              <w:sdtContent>
                <w:r w:rsidR="00042F2A">
                  <w:rPr>
                    <w:rFonts w:cs="Times New Roman"/>
                  </w:rPr>
                  <w:fldChar w:fldCharType="begin"/>
                </w:r>
                <w:r w:rsidR="00042F2A">
                  <w:rPr>
                    <w:rFonts w:cs="Times New Roman"/>
                  </w:rPr>
                  <w:instrText xml:space="preserve"> CITATION Whi10 \l 1033 </w:instrText>
                </w:r>
                <w:r w:rsidR="00042F2A">
                  <w:rPr>
                    <w:rFonts w:cs="Times New Roman"/>
                  </w:rPr>
                  <w:fldChar w:fldCharType="separate"/>
                </w:r>
                <w:r w:rsidR="00042F2A">
                  <w:rPr>
                    <w:rFonts w:cs="Times New Roman"/>
                    <w:noProof/>
                  </w:rPr>
                  <w:t xml:space="preserve"> </w:t>
                </w:r>
                <w:r w:rsidR="00042F2A" w:rsidRPr="00042F2A">
                  <w:rPr>
                    <w:rFonts w:cs="Times New Roman"/>
                    <w:noProof/>
                  </w:rPr>
                  <w:t>(White, 2010)</w:t>
                </w:r>
                <w:r w:rsidR="00042F2A">
                  <w:rPr>
                    <w:rFonts w:cs="Times New Roman"/>
                  </w:rPr>
                  <w:fldChar w:fldCharType="end"/>
                </w:r>
              </w:sdtContent>
            </w:sdt>
            <w:r w:rsidR="003C26C1" w:rsidRPr="00BE7DB7">
              <w:rPr>
                <w:rFonts w:cs="Times New Roman"/>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Social Security Act</w:t>
            </w:r>
          </w:p>
        </w:tc>
        <w:tc>
          <w:tcPr>
            <w:tcW w:w="10035" w:type="dxa"/>
          </w:tcPr>
          <w:p w:rsidR="003D2D03" w:rsidRPr="00BE7DB7" w:rsidRDefault="00E96B3C" w:rsidP="0076326D">
            <w:pPr>
              <w:spacing w:line="240" w:lineRule="auto"/>
              <w:ind w:firstLine="0"/>
              <w:jc w:val="left"/>
              <w:rPr>
                <w:rFonts w:cs="Times New Roman"/>
              </w:rPr>
            </w:pPr>
            <w:r w:rsidRPr="00BE7DB7">
              <w:rPr>
                <w:rFonts w:cs="Times New Roman"/>
                <w:lang w:bidi="ar"/>
              </w:rPr>
              <w:t>Social Security Act created the social security act which made it a basic right for old people to have a pension. Also, it created insurance for unemployment. It was signed to be a law on August 14</w:t>
            </w:r>
            <w:r w:rsidRPr="00BE7DB7">
              <w:rPr>
                <w:rFonts w:cs="Times New Roman"/>
                <w:vertAlign w:val="superscript"/>
                <w:lang w:bidi="ar"/>
              </w:rPr>
              <w:t>th</w:t>
            </w:r>
            <w:r w:rsidR="0076326D">
              <w:rPr>
                <w:rFonts w:cs="Times New Roman"/>
                <w:lang w:bidi="ar"/>
              </w:rPr>
              <w:t>, 1935 by president Roosevelt and</w:t>
            </w:r>
            <w:r w:rsidR="00741D95" w:rsidRPr="00BE7DB7">
              <w:rPr>
                <w:rFonts w:cs="Times New Roman"/>
                <w:lang w:bidi="ar"/>
              </w:rPr>
              <w:t xml:space="preserve"> act laid the foundation of today's welfare of the elderly, the unemployed people as well as the children</w:t>
            </w:r>
            <w:sdt>
              <w:sdtPr>
                <w:rPr>
                  <w:rFonts w:cs="Times New Roman"/>
                  <w:lang w:bidi="ar"/>
                </w:rPr>
                <w:id w:val="-692911015"/>
                <w:citation/>
              </w:sdtPr>
              <w:sdtEndPr/>
              <w:sdtContent>
                <w:r w:rsidR="0076326D">
                  <w:rPr>
                    <w:rFonts w:cs="Times New Roman"/>
                    <w:lang w:bidi="ar"/>
                  </w:rPr>
                  <w:fldChar w:fldCharType="begin"/>
                </w:r>
                <w:r w:rsidR="0076326D">
                  <w:rPr>
                    <w:rFonts w:cs="Times New Roman"/>
                    <w:lang w:bidi="ar"/>
                  </w:rPr>
                  <w:instrText xml:space="preserve"> CITATION Tan15 \l 1033 </w:instrText>
                </w:r>
                <w:r w:rsidR="0076326D">
                  <w:rPr>
                    <w:rFonts w:cs="Times New Roman"/>
                    <w:lang w:bidi="ar"/>
                  </w:rPr>
                  <w:fldChar w:fldCharType="separate"/>
                </w:r>
                <w:r w:rsidR="0076326D">
                  <w:rPr>
                    <w:rFonts w:cs="Times New Roman"/>
                    <w:noProof/>
                    <w:lang w:bidi="ar"/>
                  </w:rPr>
                  <w:t xml:space="preserve"> </w:t>
                </w:r>
                <w:r w:rsidR="0076326D" w:rsidRPr="0076326D">
                  <w:rPr>
                    <w:rFonts w:cs="Times New Roman"/>
                    <w:noProof/>
                    <w:lang w:bidi="ar"/>
                  </w:rPr>
                  <w:t>(Tani, 2015)</w:t>
                </w:r>
                <w:r w:rsidR="0076326D">
                  <w:rPr>
                    <w:rFonts w:cs="Times New Roman"/>
                    <w:lang w:bidi="ar"/>
                  </w:rPr>
                  <w:fldChar w:fldCharType="end"/>
                </w:r>
              </w:sdtContent>
            </w:sdt>
            <w:r w:rsidR="00741D95" w:rsidRPr="00BE7DB7">
              <w:rPr>
                <w:rFonts w:cs="Times New Roman"/>
                <w:lang w:bidi="ar"/>
              </w:rPr>
              <w:t xml:space="preserve">. Some of its achievements were building of houses to the </w:t>
            </w:r>
            <w:r w:rsidR="00741D95" w:rsidRPr="00BE7DB7">
              <w:rPr>
                <w:rFonts w:cs="Times New Roman"/>
                <w:lang w:bidi="ar"/>
              </w:rPr>
              <w:lastRenderedPageBreak/>
              <w:t>poor as well as cramming of immigrates and betterment of workplaces mostly after the start of industrialization and urbanization. These processes left many social problems like unsafe working environments, child labor which was addressed by SSA</w:t>
            </w:r>
            <w:r w:rsidR="0076326D">
              <w:rPr>
                <w:rFonts w:cs="Times New Roman"/>
                <w:lang w:bidi="ar"/>
              </w:rPr>
              <w:t>.</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lastRenderedPageBreak/>
              <w:t>Tennessee Valley Authority</w:t>
            </w:r>
          </w:p>
        </w:tc>
        <w:tc>
          <w:tcPr>
            <w:tcW w:w="10035" w:type="dxa"/>
          </w:tcPr>
          <w:p w:rsidR="003D2D03" w:rsidRPr="00BE7DB7" w:rsidRDefault="00E96B3C" w:rsidP="0076326D">
            <w:pPr>
              <w:spacing w:line="240" w:lineRule="auto"/>
              <w:ind w:firstLine="0"/>
              <w:jc w:val="left"/>
              <w:rPr>
                <w:rFonts w:cs="Times New Roman"/>
              </w:rPr>
            </w:pPr>
            <w:r w:rsidRPr="00BE7DB7">
              <w:rPr>
                <w:rFonts w:cs="Times New Roman"/>
              </w:rPr>
              <w:t>This was a corporation in the US, federally owned and created by the congressional charter on May 18, 1933. Its main functions were to provide the better living condition of the region greatly affected by the Great D</w:t>
            </w:r>
            <w:r w:rsidR="0076326D">
              <w:rPr>
                <w:rFonts w:cs="Times New Roman"/>
              </w:rPr>
              <w:t>epression – Tennessee Valley as well as providing</w:t>
            </w:r>
            <w:r w:rsidRPr="00BE7DB7">
              <w:rPr>
                <w:rFonts w:cs="Times New Roman"/>
              </w:rPr>
              <w:t xml:space="preserve"> food control measures, power generation (electricity), provision fertilizers as well as enhancing economic development</w:t>
            </w:r>
            <w:sdt>
              <w:sdtPr>
                <w:rPr>
                  <w:rFonts w:cs="Times New Roman"/>
                </w:rPr>
                <w:id w:val="-554313207"/>
                <w:citation/>
              </w:sdtPr>
              <w:sdtEndPr/>
              <w:sdtContent>
                <w:r w:rsidR="0076326D">
                  <w:rPr>
                    <w:rFonts w:cs="Times New Roman"/>
                  </w:rPr>
                  <w:fldChar w:fldCharType="begin"/>
                </w:r>
                <w:r w:rsidR="0076326D">
                  <w:rPr>
                    <w:rFonts w:cs="Times New Roman"/>
                  </w:rPr>
                  <w:instrText xml:space="preserve"> CITATION Kit14 \l 1033 </w:instrText>
                </w:r>
                <w:r w:rsidR="0076326D">
                  <w:rPr>
                    <w:rFonts w:cs="Times New Roman"/>
                  </w:rPr>
                  <w:fldChar w:fldCharType="separate"/>
                </w:r>
                <w:r w:rsidR="0076326D">
                  <w:rPr>
                    <w:rFonts w:cs="Times New Roman"/>
                    <w:noProof/>
                  </w:rPr>
                  <w:t xml:space="preserve"> </w:t>
                </w:r>
                <w:r w:rsidR="0076326D" w:rsidRPr="0076326D">
                  <w:rPr>
                    <w:rFonts w:cs="Times New Roman"/>
                    <w:noProof/>
                  </w:rPr>
                  <w:t>(Kitchens, 2014)</w:t>
                </w:r>
                <w:r w:rsidR="0076326D">
                  <w:rPr>
                    <w:rFonts w:cs="Times New Roman"/>
                  </w:rPr>
                  <w:fldChar w:fldCharType="end"/>
                </w:r>
              </w:sdtContent>
            </w:sdt>
            <w:r w:rsidRPr="00BE7DB7">
              <w:rPr>
                <w:rFonts w:cs="Times New Roman"/>
              </w:rPr>
              <w:t>. TVA was also equipped with the task not only to</w:t>
            </w:r>
            <w:r w:rsidR="002E7243" w:rsidRPr="00BE7DB7">
              <w:rPr>
                <w:rFonts w:cs="Times New Roman"/>
              </w:rPr>
              <w:t xml:space="preserve"> provide the necessities of the valley people but also as the regional development agency to provide the economic development to the valley</w:t>
            </w:r>
          </w:p>
        </w:tc>
      </w:tr>
      <w:tr w:rsidR="003E7073" w:rsidRPr="00BE7DB7">
        <w:tc>
          <w:tcPr>
            <w:tcW w:w="3600" w:type="dxa"/>
          </w:tcPr>
          <w:p w:rsidR="003D2D03" w:rsidRPr="00BE7DB7" w:rsidRDefault="00E96B3C" w:rsidP="00106061">
            <w:pPr>
              <w:spacing w:line="240" w:lineRule="auto"/>
              <w:ind w:firstLine="0"/>
              <w:jc w:val="left"/>
              <w:rPr>
                <w:rFonts w:cs="Times New Roman"/>
              </w:rPr>
            </w:pPr>
            <w:r w:rsidRPr="00BE7DB7">
              <w:rPr>
                <w:rFonts w:cs="Times New Roman"/>
                <w:lang w:bidi="ar"/>
              </w:rPr>
              <w:t>Works Progress Administration</w:t>
            </w:r>
          </w:p>
        </w:tc>
        <w:tc>
          <w:tcPr>
            <w:tcW w:w="10035" w:type="dxa"/>
          </w:tcPr>
          <w:p w:rsidR="003D2D03" w:rsidRPr="00BE7DB7" w:rsidRDefault="00E96B3C" w:rsidP="00106061">
            <w:pPr>
              <w:spacing w:line="240" w:lineRule="auto"/>
              <w:ind w:firstLine="0"/>
              <w:jc w:val="left"/>
              <w:rPr>
                <w:rFonts w:cs="Times New Roman"/>
              </w:rPr>
            </w:pPr>
            <w:r w:rsidRPr="00BE7DB7">
              <w:rPr>
                <w:rFonts w:cs="Times New Roman"/>
              </w:rPr>
              <w:t>This was an American New Deal agency for providing employment to unemployed people in American</w:t>
            </w:r>
            <w:r w:rsidR="0076326D">
              <w:rPr>
                <w:rFonts w:cs="Times New Roman"/>
              </w:rPr>
              <w:t>. WPA</w:t>
            </w:r>
            <w:r w:rsidR="00DF46CF" w:rsidRPr="00BE7DB7">
              <w:rPr>
                <w:rFonts w:cs="Times New Roman"/>
              </w:rPr>
              <w:t xml:space="preserve"> was renamed in 1939 from Works Progress Administration to Work Projects Administration. </w:t>
            </w:r>
            <w:r w:rsidR="0076326D">
              <w:rPr>
                <w:rFonts w:cs="Times New Roman"/>
              </w:rPr>
              <w:t>Not only did it concentrate on</w:t>
            </w:r>
            <w:r w:rsidRPr="00BE7DB7">
              <w:rPr>
                <w:rFonts w:cs="Times New Roman"/>
              </w:rPr>
              <w:t xml:space="preserve"> much smaller pro</w:t>
            </w:r>
            <w:r w:rsidR="0076326D">
              <w:rPr>
                <w:rFonts w:cs="Times New Roman"/>
              </w:rPr>
              <w:t xml:space="preserve">jects in its first projects but also </w:t>
            </w:r>
            <w:r w:rsidRPr="00BE7DB7">
              <w:rPr>
                <w:rFonts w:cs="Times New Roman"/>
              </w:rPr>
              <w:t>employed people like musicians, actors, writers, artists, and others. It was under the adm</w:t>
            </w:r>
            <w:r w:rsidR="007727F2">
              <w:rPr>
                <w:rFonts w:cs="Times New Roman"/>
              </w:rPr>
              <w:t>inistration of Harry Hopkins and was able to provide</w:t>
            </w:r>
            <w:r w:rsidRPr="00BE7DB7">
              <w:rPr>
                <w:rFonts w:cs="Times New Roman"/>
              </w:rPr>
              <w:t xml:space="preserve"> employment to millions of people affected by the Great Depression</w:t>
            </w:r>
            <w:r w:rsidR="00E10696">
              <w:rPr>
                <w:rFonts w:cs="Times New Roman"/>
              </w:rPr>
              <w:t xml:space="preserve"> and</w:t>
            </w:r>
            <w:r w:rsidR="00DF46CF" w:rsidRPr="00BE7DB7">
              <w:rPr>
                <w:rFonts w:cs="Times New Roman"/>
              </w:rPr>
              <w:t xml:space="preserve"> also concentrated on the development of infrastructure as part of its plan to create a future for the people affected by the Great Depression. At the peak of its operations, it was able to provide job opportunities to more than 3million people</w:t>
            </w:r>
            <w:sdt>
              <w:sdtPr>
                <w:rPr>
                  <w:rFonts w:cs="Times New Roman"/>
                </w:rPr>
                <w:id w:val="-1016300210"/>
                <w:citation/>
              </w:sdtPr>
              <w:sdtEndPr/>
              <w:sdtContent>
                <w:r w:rsidR="00E10696">
                  <w:rPr>
                    <w:rFonts w:cs="Times New Roman"/>
                  </w:rPr>
                  <w:fldChar w:fldCharType="begin"/>
                </w:r>
                <w:r w:rsidR="00E10696">
                  <w:rPr>
                    <w:rFonts w:cs="Times New Roman"/>
                  </w:rPr>
                  <w:instrText xml:space="preserve"> CITATION Gri13 \l 1033 </w:instrText>
                </w:r>
                <w:r w:rsidR="00E10696">
                  <w:rPr>
                    <w:rFonts w:cs="Times New Roman"/>
                  </w:rPr>
                  <w:fldChar w:fldCharType="separate"/>
                </w:r>
                <w:r w:rsidR="00E10696">
                  <w:rPr>
                    <w:rFonts w:cs="Times New Roman"/>
                    <w:noProof/>
                  </w:rPr>
                  <w:t xml:space="preserve"> </w:t>
                </w:r>
                <w:r w:rsidR="00E10696" w:rsidRPr="00E10696">
                  <w:rPr>
                    <w:rFonts w:cs="Times New Roman"/>
                    <w:noProof/>
                  </w:rPr>
                  <w:t>(Grieve, 2013)</w:t>
                </w:r>
                <w:r w:rsidR="00E10696">
                  <w:rPr>
                    <w:rFonts w:cs="Times New Roman"/>
                  </w:rPr>
                  <w:fldChar w:fldCharType="end"/>
                </w:r>
              </w:sdtContent>
            </w:sdt>
            <w:r w:rsidR="00DF46CF" w:rsidRPr="00BE7DB7">
              <w:rPr>
                <w:rFonts w:cs="Times New Roman"/>
              </w:rPr>
              <w:t>. After its disbandment in 1935, the</w:t>
            </w:r>
            <w:r w:rsidR="004C3B55">
              <w:rPr>
                <w:rFonts w:cs="Times New Roman"/>
              </w:rPr>
              <w:t xml:space="preserve"> organization that succeeds it - </w:t>
            </w:r>
            <w:r w:rsidR="00DF46CF" w:rsidRPr="00BE7DB7">
              <w:rPr>
                <w:rFonts w:cs="Times New Roman"/>
              </w:rPr>
              <w:t>National Youth Administration employed most of its operations and employed 8.5 million more people. This organization had an annual budget of about 1.3 million dollars and worked with both local and state government. It, however, ended in 1943 as a result of world war two</w:t>
            </w:r>
            <w:r w:rsidR="00E10696">
              <w:rPr>
                <w:rFonts w:cs="Times New Roman"/>
              </w:rPr>
              <w:t>.</w:t>
            </w:r>
          </w:p>
          <w:p w:rsidR="003D2D03" w:rsidRPr="00BE7DB7" w:rsidRDefault="003D2D03" w:rsidP="00106061">
            <w:pPr>
              <w:spacing w:line="240" w:lineRule="auto"/>
              <w:jc w:val="left"/>
              <w:rPr>
                <w:rFonts w:cs="Times New Roman"/>
              </w:rPr>
            </w:pPr>
          </w:p>
          <w:p w:rsidR="003D2D03" w:rsidRPr="00BE7DB7" w:rsidRDefault="003D2D03" w:rsidP="00106061">
            <w:pPr>
              <w:spacing w:line="240" w:lineRule="auto"/>
              <w:jc w:val="left"/>
              <w:rPr>
                <w:rFonts w:cs="Times New Roman"/>
              </w:rPr>
            </w:pPr>
          </w:p>
        </w:tc>
      </w:tr>
    </w:tbl>
    <w:p w:rsidR="00CF333E" w:rsidRDefault="00CF333E">
      <w:pPr>
        <w:widowControl/>
        <w:spacing w:line="259" w:lineRule="auto"/>
        <w:ind w:firstLine="0"/>
        <w:rPr>
          <w:rFonts w:cs="Times New Roman"/>
        </w:rPr>
      </w:pPr>
      <w:r>
        <w:rPr>
          <w:rFonts w:cs="Times New Roman"/>
        </w:rPr>
        <w:br w:type="page"/>
      </w:r>
    </w:p>
    <w:sdt>
      <w:sdtPr>
        <w:rPr>
          <w:rFonts w:eastAsiaTheme="minorEastAsia" w:cstheme="minorBidi"/>
          <w:kern w:val="2"/>
          <w:szCs w:val="24"/>
          <w:lang w:eastAsia="zh-CN"/>
        </w:rPr>
        <w:id w:val="-1340542828"/>
        <w:docPartObj>
          <w:docPartGallery w:val="Bibliographies"/>
          <w:docPartUnique/>
        </w:docPartObj>
      </w:sdtPr>
      <w:sdtEndPr/>
      <w:sdtContent>
        <w:p w:rsidR="00CF333E" w:rsidRDefault="00CF333E">
          <w:pPr>
            <w:pStyle w:val="Heading1"/>
          </w:pPr>
          <w:r>
            <w:tab/>
          </w:r>
          <w:r w:rsidR="00E10696">
            <w:t xml:space="preserve">                                        </w:t>
          </w:r>
          <w:r>
            <w:t>References</w:t>
          </w:r>
        </w:p>
        <w:sdt>
          <w:sdtPr>
            <w:id w:val="-573587230"/>
            <w:bibliography/>
          </w:sdtPr>
          <w:sdtEndPr/>
          <w:sdtContent>
            <w:p w:rsidR="00CF333E" w:rsidRDefault="00CF333E" w:rsidP="007A7729">
              <w:pPr>
                <w:pStyle w:val="Bibliography"/>
                <w:spacing w:line="240" w:lineRule="auto"/>
                <w:ind w:left="720" w:hanging="418"/>
                <w:rPr>
                  <w:noProof/>
                </w:rPr>
              </w:pPr>
              <w:r>
                <w:fldChar w:fldCharType="begin"/>
              </w:r>
              <w:r>
                <w:instrText xml:space="preserve"> BIBLIOGRAPHY </w:instrText>
              </w:r>
              <w:r>
                <w:fldChar w:fldCharType="separate"/>
              </w:r>
              <w:r>
                <w:rPr>
                  <w:noProof/>
                </w:rPr>
                <w:t xml:space="preserve">Abrams, D. (2010). "That Magnificent Army of Youth and Peace": The Civilian Conservation Corps in North Carolina, 1933-1942/The Civilian Conservation Corps in Alabama, 1933-1942: A Great and Lasting Good. </w:t>
              </w:r>
              <w:r>
                <w:rPr>
                  <w:i/>
                  <w:iCs/>
                  <w:noProof/>
                </w:rPr>
                <w:t>. The Journal of Southern History; Athens Vol. 76, Iss. 1</w:t>
              </w:r>
              <w:r>
                <w:rPr>
                  <w:noProof/>
                </w:rPr>
                <w:t>, 193-194.</w:t>
              </w:r>
            </w:p>
            <w:p w:rsidR="00CF333E" w:rsidRDefault="00CF333E" w:rsidP="007A7729">
              <w:pPr>
                <w:pStyle w:val="Bibliography"/>
                <w:spacing w:line="240" w:lineRule="auto"/>
                <w:ind w:left="720" w:hanging="418"/>
                <w:rPr>
                  <w:noProof/>
                </w:rPr>
              </w:pPr>
              <w:r>
                <w:rPr>
                  <w:noProof/>
                </w:rPr>
                <w:t xml:space="preserve">Blau, J. (2013). Revising the New Deal. </w:t>
              </w:r>
              <w:r>
                <w:rPr>
                  <w:i/>
                  <w:iCs/>
                  <w:noProof/>
                </w:rPr>
                <w:t xml:space="preserve">Reviews in American History; Baltimore Vol. 41, Iss. 1, </w:t>
              </w:r>
              <w:r>
                <w:rPr>
                  <w:noProof/>
                </w:rPr>
                <w:t>, 129-133.</w:t>
              </w:r>
            </w:p>
            <w:p w:rsidR="00CF333E" w:rsidRDefault="00CF333E" w:rsidP="007A7729">
              <w:pPr>
                <w:pStyle w:val="Bibliography"/>
                <w:spacing w:line="240" w:lineRule="auto"/>
                <w:ind w:left="720" w:hanging="418"/>
                <w:rPr>
                  <w:noProof/>
                </w:rPr>
              </w:pPr>
              <w:r>
                <w:rPr>
                  <w:noProof/>
                </w:rPr>
                <w:t xml:space="preserve">Chicu, M. (2013). Cementing the case for collusion under the National Recovery Administration. </w:t>
              </w:r>
              <w:r>
                <w:rPr>
                  <w:i/>
                  <w:iCs/>
                  <w:noProof/>
                </w:rPr>
                <w:t>Explorations in Economic History; Madison Vol. 50, Iss. 4,</w:t>
              </w:r>
              <w:r>
                <w:rPr>
                  <w:noProof/>
                </w:rPr>
                <w:t>, 490-494.</w:t>
              </w:r>
            </w:p>
            <w:p w:rsidR="00CF333E" w:rsidRDefault="00CF333E" w:rsidP="007A7729">
              <w:pPr>
                <w:pStyle w:val="Bibliography"/>
                <w:spacing w:line="240" w:lineRule="auto"/>
                <w:ind w:left="720" w:hanging="418"/>
                <w:rPr>
                  <w:noProof/>
                </w:rPr>
              </w:pPr>
              <w:r>
                <w:rPr>
                  <w:noProof/>
                </w:rPr>
                <w:t xml:space="preserve">Glock, J. (2016). How the Federal Housing Administration Tried to Save America's Cities, 1934-1960. </w:t>
              </w:r>
              <w:r>
                <w:rPr>
                  <w:i/>
                  <w:iCs/>
                  <w:noProof/>
                </w:rPr>
                <w:t>. Journal of Policy History : JPH; Cambridge Vol. 28, Iss. 2,</w:t>
              </w:r>
              <w:r>
                <w:rPr>
                  <w:noProof/>
                </w:rPr>
                <w:t>, 297-300.</w:t>
              </w:r>
            </w:p>
            <w:p w:rsidR="00CF333E" w:rsidRDefault="00CF333E" w:rsidP="007A7729">
              <w:pPr>
                <w:pStyle w:val="Bibliography"/>
                <w:spacing w:line="240" w:lineRule="auto"/>
                <w:ind w:left="720" w:hanging="418"/>
                <w:rPr>
                  <w:noProof/>
                </w:rPr>
              </w:pPr>
              <w:r>
                <w:rPr>
                  <w:noProof/>
                </w:rPr>
                <w:t xml:space="preserve">Grieve, V. (2013). The Visual Production of Citizenship: Children's Literature of the Works Progress Administration, 1937-1942. </w:t>
              </w:r>
              <w:r>
                <w:rPr>
                  <w:i/>
                  <w:iCs/>
                  <w:noProof/>
                </w:rPr>
                <w:t>Children's Literature Association Quarterly; Baltimore Vol. 38, Iss. 1, (Spring 2013): 26-47.</w:t>
              </w:r>
              <w:r>
                <w:rPr>
                  <w:noProof/>
                </w:rPr>
                <w:t>, 29-31.</w:t>
              </w:r>
            </w:p>
            <w:p w:rsidR="00CF333E" w:rsidRDefault="00CF333E" w:rsidP="007A7729">
              <w:pPr>
                <w:pStyle w:val="Bibliography"/>
                <w:spacing w:line="240" w:lineRule="auto"/>
                <w:ind w:left="720" w:hanging="418"/>
                <w:rPr>
                  <w:noProof/>
                </w:rPr>
              </w:pPr>
              <w:r>
                <w:rPr>
                  <w:noProof/>
                </w:rPr>
                <w:t xml:space="preserve">Hogan, T. (2016). Alternatives to the Federal Deposit Insurance Corporation. </w:t>
              </w:r>
              <w:r>
                <w:rPr>
                  <w:i/>
                  <w:iCs/>
                  <w:noProof/>
                </w:rPr>
                <w:t>The Independent Review; Oakland Vol. 20, Iss. 3</w:t>
              </w:r>
              <w:r>
                <w:rPr>
                  <w:noProof/>
                </w:rPr>
                <w:t>, 440.</w:t>
              </w:r>
            </w:p>
            <w:p w:rsidR="00CF333E" w:rsidRDefault="00CF333E" w:rsidP="007A7729">
              <w:pPr>
                <w:pStyle w:val="Bibliography"/>
                <w:spacing w:line="240" w:lineRule="auto"/>
                <w:ind w:left="720" w:hanging="418"/>
                <w:rPr>
                  <w:noProof/>
                </w:rPr>
              </w:pPr>
              <w:r>
                <w:rPr>
                  <w:noProof/>
                </w:rPr>
                <w:t xml:space="preserve">Jones, A. (2007). Emergency Management. </w:t>
              </w:r>
              <w:r>
                <w:rPr>
                  <w:i/>
                  <w:iCs/>
                  <w:noProof/>
                </w:rPr>
                <w:t>The American Experience 1900-2010, Second Edition</w:t>
              </w:r>
              <w:r>
                <w:rPr>
                  <w:noProof/>
                </w:rPr>
                <w:t>, 52.</w:t>
              </w:r>
            </w:p>
            <w:p w:rsidR="00CF333E" w:rsidRDefault="00CF333E" w:rsidP="007A7729">
              <w:pPr>
                <w:pStyle w:val="Bibliography"/>
                <w:spacing w:line="240" w:lineRule="auto"/>
                <w:ind w:left="720" w:hanging="418"/>
                <w:rPr>
                  <w:noProof/>
                </w:rPr>
              </w:pPr>
              <w:r>
                <w:rPr>
                  <w:noProof/>
                </w:rPr>
                <w:t xml:space="preserve">Kinsella, W. (2016). Harry Hopkins, FDR's Envoy to Churchill and Stalin. </w:t>
              </w:r>
              <w:r>
                <w:rPr>
                  <w:i/>
                  <w:iCs/>
                  <w:noProof/>
                </w:rPr>
                <w:t>Presidential Studies Quarterly; Washington Vol. 46, Iss. 3,</w:t>
              </w:r>
              <w:r>
                <w:rPr>
                  <w:noProof/>
                </w:rPr>
                <w:t>, 735.</w:t>
              </w:r>
            </w:p>
            <w:p w:rsidR="00CF333E" w:rsidRDefault="00CF333E" w:rsidP="007A7729">
              <w:pPr>
                <w:pStyle w:val="Bibliography"/>
                <w:spacing w:line="240" w:lineRule="auto"/>
                <w:ind w:left="720" w:hanging="418"/>
                <w:rPr>
                  <w:noProof/>
                </w:rPr>
              </w:pPr>
              <w:r>
                <w:rPr>
                  <w:noProof/>
                </w:rPr>
                <w:t xml:space="preserve">Kitchens, C. (2014). The use of eminent domain in land assembly: The case of the Tennessee Valley Authority. </w:t>
              </w:r>
              <w:r>
                <w:rPr>
                  <w:i/>
                  <w:iCs/>
                  <w:noProof/>
                </w:rPr>
                <w:t xml:space="preserve">Public Choice; Dordrecht Vol. 160, Iss. 3-4, </w:t>
              </w:r>
              <w:r>
                <w:rPr>
                  <w:noProof/>
                </w:rPr>
                <w:t>, 460.</w:t>
              </w:r>
            </w:p>
            <w:p w:rsidR="00CF333E" w:rsidRDefault="00CF333E" w:rsidP="007A7729">
              <w:pPr>
                <w:pStyle w:val="Bibliography"/>
                <w:spacing w:line="240" w:lineRule="auto"/>
                <w:ind w:left="720" w:hanging="418"/>
                <w:rPr>
                  <w:noProof/>
                </w:rPr>
              </w:pPr>
              <w:r>
                <w:rPr>
                  <w:noProof/>
                </w:rPr>
                <w:t xml:space="preserve">Mulcahy, K. (2009). Long-Range Public Investment: The Forgotten Legacy of the New Deal/Building Louisiana: The Legacy of the Public Works Administration. </w:t>
              </w:r>
              <w:r>
                <w:rPr>
                  <w:i/>
                  <w:iCs/>
                  <w:noProof/>
                </w:rPr>
                <w:t>Journal of Arts Management, Law, and Society; Washington Vol. 39, Iss. 1</w:t>
              </w:r>
              <w:r>
                <w:rPr>
                  <w:noProof/>
                </w:rPr>
                <w:t>, 76-78.</w:t>
              </w:r>
            </w:p>
            <w:p w:rsidR="00CF333E" w:rsidRDefault="00CF333E" w:rsidP="007A7729">
              <w:pPr>
                <w:pStyle w:val="Bibliography"/>
                <w:spacing w:line="240" w:lineRule="auto"/>
                <w:ind w:left="720" w:hanging="418"/>
                <w:rPr>
                  <w:noProof/>
                </w:rPr>
              </w:pPr>
              <w:r>
                <w:rPr>
                  <w:noProof/>
                </w:rPr>
                <w:t xml:space="preserve">Tani, K. (2015). States' Rights, Welfare Rights, and the "Indian Problem": Negotiating Citizenship and Sovereignty, 1935-1954. </w:t>
              </w:r>
              <w:r>
                <w:rPr>
                  <w:i/>
                  <w:iCs/>
                  <w:noProof/>
                </w:rPr>
                <w:t>Law and History Review; Cambridge Vol. 33, Iss. 1</w:t>
              </w:r>
              <w:r>
                <w:rPr>
                  <w:noProof/>
                </w:rPr>
                <w:t>, 30-35.</w:t>
              </w:r>
            </w:p>
            <w:p w:rsidR="00CF333E" w:rsidRDefault="00CF333E" w:rsidP="007A7729">
              <w:pPr>
                <w:pStyle w:val="Bibliography"/>
                <w:spacing w:line="240" w:lineRule="auto"/>
                <w:ind w:left="720" w:hanging="418"/>
                <w:rPr>
                  <w:noProof/>
                </w:rPr>
              </w:pPr>
              <w:r>
                <w:rPr>
                  <w:noProof/>
                </w:rPr>
                <w:t xml:space="preserve">Vickers, C. (2014). Did the National Industrial Recovery Act Foster Collusion? Evidence from the Macaroni Industry. </w:t>
              </w:r>
              <w:r>
                <w:rPr>
                  <w:i/>
                  <w:iCs/>
                  <w:noProof/>
                </w:rPr>
                <w:t>The Journal of Economic History; Santa Clara Vol. 74, Iss. 3</w:t>
              </w:r>
              <w:r>
                <w:rPr>
                  <w:noProof/>
                </w:rPr>
                <w:t>, 850-860.</w:t>
              </w:r>
            </w:p>
            <w:p w:rsidR="00CF333E" w:rsidRDefault="00CF333E" w:rsidP="007A7729">
              <w:pPr>
                <w:pStyle w:val="Bibliography"/>
                <w:spacing w:line="240" w:lineRule="auto"/>
                <w:ind w:left="720" w:hanging="418"/>
                <w:rPr>
                  <w:noProof/>
                </w:rPr>
              </w:pPr>
              <w:r>
                <w:rPr>
                  <w:noProof/>
                </w:rPr>
                <w:lastRenderedPageBreak/>
                <w:t xml:space="preserve">White, L. (2010). Markets: The Credit Rating Agencies. </w:t>
              </w:r>
              <w:r>
                <w:rPr>
                  <w:i/>
                  <w:iCs/>
                  <w:noProof/>
                </w:rPr>
                <w:t>The Journal of Economic Perspectives; Nashville Vol. 24, Iss. 2</w:t>
              </w:r>
              <w:r>
                <w:rPr>
                  <w:noProof/>
                </w:rPr>
                <w:t>, 220-222.</w:t>
              </w:r>
            </w:p>
            <w:p w:rsidR="00CF333E" w:rsidRDefault="00CF333E" w:rsidP="007A7729">
              <w:pPr>
                <w:spacing w:line="240" w:lineRule="auto"/>
                <w:ind w:hanging="418"/>
              </w:pPr>
              <w:r>
                <w:rPr>
                  <w:b/>
                  <w:bCs/>
                  <w:noProof/>
                </w:rPr>
                <w:fldChar w:fldCharType="end"/>
              </w:r>
            </w:p>
          </w:sdtContent>
        </w:sdt>
      </w:sdtContent>
    </w:sdt>
    <w:p w:rsidR="003D2D03" w:rsidRPr="00BE7DB7" w:rsidRDefault="003D2D03" w:rsidP="00106061">
      <w:pPr>
        <w:widowControl/>
        <w:spacing w:line="240" w:lineRule="auto"/>
        <w:ind w:firstLine="0"/>
        <w:rPr>
          <w:rFonts w:cs="Times New Roman"/>
        </w:rPr>
      </w:pPr>
    </w:p>
    <w:sectPr w:rsidR="003D2D03" w:rsidRPr="00BE7DB7" w:rsidSect="00B525B4">
      <w:pgSz w:w="16838" w:h="11906" w:orient="landscape"/>
      <w:pgMar w:top="1440" w:right="1440" w:bottom="1440" w:left="1440" w:header="851" w:footer="992" w:gutter="0"/>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10A" w:rsidRDefault="000F510A">
      <w:pPr>
        <w:spacing w:after="0" w:line="240" w:lineRule="auto"/>
      </w:pPr>
      <w:r>
        <w:separator/>
      </w:r>
    </w:p>
  </w:endnote>
  <w:endnote w:type="continuationSeparator" w:id="0">
    <w:p w:rsidR="000F510A" w:rsidRDefault="000F5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10A" w:rsidRDefault="000F510A">
      <w:pPr>
        <w:spacing w:after="0" w:line="240" w:lineRule="auto"/>
      </w:pPr>
      <w:r>
        <w:separator/>
      </w:r>
    </w:p>
  </w:footnote>
  <w:footnote w:type="continuationSeparator" w:id="0">
    <w:p w:rsidR="000F510A" w:rsidRDefault="000F51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9ADA"/>
    <w:rsid w:val="000135ED"/>
    <w:rsid w:val="00035797"/>
    <w:rsid w:val="00042F2A"/>
    <w:rsid w:val="000C4B73"/>
    <w:rsid w:val="000D72EF"/>
    <w:rsid w:val="000F510A"/>
    <w:rsid w:val="00106061"/>
    <w:rsid w:val="00132B3D"/>
    <w:rsid w:val="001A2D65"/>
    <w:rsid w:val="001B79A3"/>
    <w:rsid w:val="001F2E90"/>
    <w:rsid w:val="00231152"/>
    <w:rsid w:val="00251E65"/>
    <w:rsid w:val="002827C9"/>
    <w:rsid w:val="002D16A8"/>
    <w:rsid w:val="002E7243"/>
    <w:rsid w:val="003252EB"/>
    <w:rsid w:val="00353BA8"/>
    <w:rsid w:val="003A2E99"/>
    <w:rsid w:val="003C26C1"/>
    <w:rsid w:val="003D2D03"/>
    <w:rsid w:val="003E7073"/>
    <w:rsid w:val="00427507"/>
    <w:rsid w:val="004C3B55"/>
    <w:rsid w:val="005456F3"/>
    <w:rsid w:val="005E49C0"/>
    <w:rsid w:val="00612DE7"/>
    <w:rsid w:val="006A33A1"/>
    <w:rsid w:val="007142D0"/>
    <w:rsid w:val="00741D95"/>
    <w:rsid w:val="0076326D"/>
    <w:rsid w:val="007727F2"/>
    <w:rsid w:val="00777745"/>
    <w:rsid w:val="007A7729"/>
    <w:rsid w:val="007C4712"/>
    <w:rsid w:val="007F423D"/>
    <w:rsid w:val="007F69BA"/>
    <w:rsid w:val="00857F53"/>
    <w:rsid w:val="00872E0B"/>
    <w:rsid w:val="0087650E"/>
    <w:rsid w:val="00885B02"/>
    <w:rsid w:val="008F09CE"/>
    <w:rsid w:val="0090273B"/>
    <w:rsid w:val="00921152"/>
    <w:rsid w:val="009321F9"/>
    <w:rsid w:val="00936FF6"/>
    <w:rsid w:val="009D5041"/>
    <w:rsid w:val="00AA47C8"/>
    <w:rsid w:val="00B525B4"/>
    <w:rsid w:val="00B812A2"/>
    <w:rsid w:val="00B92A2D"/>
    <w:rsid w:val="00BB0A17"/>
    <w:rsid w:val="00BE7DB7"/>
    <w:rsid w:val="00C23877"/>
    <w:rsid w:val="00CA44E4"/>
    <w:rsid w:val="00CC57AF"/>
    <w:rsid w:val="00CF333E"/>
    <w:rsid w:val="00D57BC5"/>
    <w:rsid w:val="00DE23A7"/>
    <w:rsid w:val="00DF46CF"/>
    <w:rsid w:val="00E10696"/>
    <w:rsid w:val="00E96B3C"/>
    <w:rsid w:val="00ED44EE"/>
    <w:rsid w:val="00F8646B"/>
    <w:rsid w:val="00FB112B"/>
    <w:rsid w:val="00FB28B8"/>
    <w:rsid w:val="00FE1D1B"/>
    <w:rsid w:val="7FFF9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DE7"/>
    <w:pPr>
      <w:widowControl w:val="0"/>
      <w:spacing w:line="480" w:lineRule="auto"/>
      <w:ind w:firstLine="418"/>
    </w:pPr>
    <w:rPr>
      <w:rFonts w:eastAsiaTheme="minorEastAsia" w:cstheme="minorBidi"/>
      <w:kern w:val="2"/>
      <w:sz w:val="24"/>
      <w:szCs w:val="24"/>
      <w:lang w:eastAsia="zh-CN"/>
    </w:rPr>
  </w:style>
  <w:style w:type="paragraph" w:styleId="Heading1">
    <w:name w:val="heading 1"/>
    <w:basedOn w:val="Normal"/>
    <w:next w:val="Normal"/>
    <w:link w:val="Heading1Char"/>
    <w:uiPriority w:val="9"/>
    <w:qFormat/>
    <w:rsid w:val="005456F3"/>
    <w:pPr>
      <w:keepNext/>
      <w:keepLines/>
      <w:widowControl/>
      <w:spacing w:before="240" w:after="0" w:line="259" w:lineRule="auto"/>
      <w:ind w:firstLine="0"/>
      <w:outlineLvl w:val="0"/>
    </w:pPr>
    <w:rPr>
      <w:rFonts w:eastAsiaTheme="majorEastAsia" w:cstheme="majorBidi"/>
      <w:kern w:val="0"/>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52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B4"/>
    <w:rPr>
      <w:rFonts w:eastAsiaTheme="minorEastAsia" w:cstheme="minorBidi"/>
      <w:kern w:val="2"/>
      <w:sz w:val="24"/>
      <w:szCs w:val="24"/>
      <w:lang w:eastAsia="zh-CN"/>
    </w:rPr>
  </w:style>
  <w:style w:type="paragraph" w:styleId="Footer">
    <w:name w:val="footer"/>
    <w:basedOn w:val="Normal"/>
    <w:link w:val="FooterChar"/>
    <w:rsid w:val="00B525B4"/>
    <w:pPr>
      <w:tabs>
        <w:tab w:val="center" w:pos="4680"/>
        <w:tab w:val="right" w:pos="9360"/>
      </w:tabs>
      <w:spacing w:after="0" w:line="240" w:lineRule="auto"/>
    </w:pPr>
  </w:style>
  <w:style w:type="character" w:customStyle="1" w:styleId="FooterChar">
    <w:name w:val="Footer Char"/>
    <w:basedOn w:val="DefaultParagraphFont"/>
    <w:link w:val="Footer"/>
    <w:rsid w:val="00B525B4"/>
    <w:rPr>
      <w:rFonts w:eastAsiaTheme="minorEastAsia" w:cstheme="minorBidi"/>
      <w:kern w:val="2"/>
      <w:sz w:val="24"/>
      <w:szCs w:val="24"/>
      <w:lang w:eastAsia="zh-CN"/>
    </w:rPr>
  </w:style>
  <w:style w:type="character" w:customStyle="1" w:styleId="Heading1Char">
    <w:name w:val="Heading 1 Char"/>
    <w:basedOn w:val="DefaultParagraphFont"/>
    <w:link w:val="Heading1"/>
    <w:uiPriority w:val="9"/>
    <w:rsid w:val="005456F3"/>
    <w:rPr>
      <w:rFonts w:eastAsiaTheme="majorEastAsia" w:cstheme="majorBidi"/>
      <w:sz w:val="24"/>
      <w:szCs w:val="32"/>
    </w:rPr>
  </w:style>
  <w:style w:type="paragraph" w:styleId="Bibliography">
    <w:name w:val="Bibliography"/>
    <w:basedOn w:val="Normal"/>
    <w:next w:val="Normal"/>
    <w:uiPriority w:val="37"/>
    <w:unhideWhenUsed/>
    <w:rsid w:val="005456F3"/>
  </w:style>
  <w:style w:type="paragraph" w:styleId="BalloonText">
    <w:name w:val="Balloon Text"/>
    <w:basedOn w:val="Normal"/>
    <w:link w:val="BalloonTextChar"/>
    <w:rsid w:val="00BE7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E7DB7"/>
    <w:rPr>
      <w:rFonts w:ascii="Tahoma" w:eastAsiaTheme="minorEastAsia"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DE7"/>
    <w:pPr>
      <w:widowControl w:val="0"/>
      <w:spacing w:line="480" w:lineRule="auto"/>
      <w:ind w:firstLine="418"/>
    </w:pPr>
    <w:rPr>
      <w:rFonts w:eastAsiaTheme="minorEastAsia" w:cstheme="minorBidi"/>
      <w:kern w:val="2"/>
      <w:sz w:val="24"/>
      <w:szCs w:val="24"/>
      <w:lang w:eastAsia="zh-CN"/>
    </w:rPr>
  </w:style>
  <w:style w:type="paragraph" w:styleId="Heading1">
    <w:name w:val="heading 1"/>
    <w:basedOn w:val="Normal"/>
    <w:next w:val="Normal"/>
    <w:link w:val="Heading1Char"/>
    <w:uiPriority w:val="9"/>
    <w:qFormat/>
    <w:rsid w:val="005456F3"/>
    <w:pPr>
      <w:keepNext/>
      <w:keepLines/>
      <w:widowControl/>
      <w:spacing w:before="240" w:after="0" w:line="259" w:lineRule="auto"/>
      <w:ind w:firstLine="0"/>
      <w:outlineLvl w:val="0"/>
    </w:pPr>
    <w:rPr>
      <w:rFonts w:eastAsiaTheme="majorEastAsia" w:cstheme="majorBidi"/>
      <w:kern w:val="0"/>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52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B4"/>
    <w:rPr>
      <w:rFonts w:eastAsiaTheme="minorEastAsia" w:cstheme="minorBidi"/>
      <w:kern w:val="2"/>
      <w:sz w:val="24"/>
      <w:szCs w:val="24"/>
      <w:lang w:eastAsia="zh-CN"/>
    </w:rPr>
  </w:style>
  <w:style w:type="paragraph" w:styleId="Footer">
    <w:name w:val="footer"/>
    <w:basedOn w:val="Normal"/>
    <w:link w:val="FooterChar"/>
    <w:rsid w:val="00B525B4"/>
    <w:pPr>
      <w:tabs>
        <w:tab w:val="center" w:pos="4680"/>
        <w:tab w:val="right" w:pos="9360"/>
      </w:tabs>
      <w:spacing w:after="0" w:line="240" w:lineRule="auto"/>
    </w:pPr>
  </w:style>
  <w:style w:type="character" w:customStyle="1" w:styleId="FooterChar">
    <w:name w:val="Footer Char"/>
    <w:basedOn w:val="DefaultParagraphFont"/>
    <w:link w:val="Footer"/>
    <w:rsid w:val="00B525B4"/>
    <w:rPr>
      <w:rFonts w:eastAsiaTheme="minorEastAsia" w:cstheme="minorBidi"/>
      <w:kern w:val="2"/>
      <w:sz w:val="24"/>
      <w:szCs w:val="24"/>
      <w:lang w:eastAsia="zh-CN"/>
    </w:rPr>
  </w:style>
  <w:style w:type="character" w:customStyle="1" w:styleId="Heading1Char">
    <w:name w:val="Heading 1 Char"/>
    <w:basedOn w:val="DefaultParagraphFont"/>
    <w:link w:val="Heading1"/>
    <w:uiPriority w:val="9"/>
    <w:rsid w:val="005456F3"/>
    <w:rPr>
      <w:rFonts w:eastAsiaTheme="majorEastAsia" w:cstheme="majorBidi"/>
      <w:sz w:val="24"/>
      <w:szCs w:val="32"/>
    </w:rPr>
  </w:style>
  <w:style w:type="paragraph" w:styleId="Bibliography">
    <w:name w:val="Bibliography"/>
    <w:basedOn w:val="Normal"/>
    <w:next w:val="Normal"/>
    <w:uiPriority w:val="37"/>
    <w:unhideWhenUsed/>
    <w:rsid w:val="005456F3"/>
  </w:style>
  <w:style w:type="paragraph" w:styleId="BalloonText">
    <w:name w:val="Balloon Text"/>
    <w:basedOn w:val="Normal"/>
    <w:link w:val="BalloonTextChar"/>
    <w:rsid w:val="00BE7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E7DB7"/>
    <w:rPr>
      <w:rFonts w:ascii="Tahoma" w:eastAsiaTheme="minorEastAsia"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50044">
      <w:bodyDiv w:val="1"/>
      <w:marLeft w:val="0"/>
      <w:marRight w:val="0"/>
      <w:marTop w:val="0"/>
      <w:marBottom w:val="0"/>
      <w:divBdr>
        <w:top w:val="none" w:sz="0" w:space="0" w:color="auto"/>
        <w:left w:val="none" w:sz="0" w:space="0" w:color="auto"/>
        <w:bottom w:val="none" w:sz="0" w:space="0" w:color="auto"/>
        <w:right w:val="none" w:sz="0" w:space="0" w:color="auto"/>
      </w:divBdr>
    </w:div>
    <w:div w:id="92627714">
      <w:bodyDiv w:val="1"/>
      <w:marLeft w:val="0"/>
      <w:marRight w:val="0"/>
      <w:marTop w:val="0"/>
      <w:marBottom w:val="0"/>
      <w:divBdr>
        <w:top w:val="none" w:sz="0" w:space="0" w:color="auto"/>
        <w:left w:val="none" w:sz="0" w:space="0" w:color="auto"/>
        <w:bottom w:val="none" w:sz="0" w:space="0" w:color="auto"/>
        <w:right w:val="none" w:sz="0" w:space="0" w:color="auto"/>
      </w:divBdr>
    </w:div>
    <w:div w:id="148716173">
      <w:bodyDiv w:val="1"/>
      <w:marLeft w:val="0"/>
      <w:marRight w:val="0"/>
      <w:marTop w:val="0"/>
      <w:marBottom w:val="0"/>
      <w:divBdr>
        <w:top w:val="none" w:sz="0" w:space="0" w:color="auto"/>
        <w:left w:val="none" w:sz="0" w:space="0" w:color="auto"/>
        <w:bottom w:val="none" w:sz="0" w:space="0" w:color="auto"/>
        <w:right w:val="none" w:sz="0" w:space="0" w:color="auto"/>
      </w:divBdr>
    </w:div>
    <w:div w:id="188573195">
      <w:bodyDiv w:val="1"/>
      <w:marLeft w:val="0"/>
      <w:marRight w:val="0"/>
      <w:marTop w:val="0"/>
      <w:marBottom w:val="0"/>
      <w:divBdr>
        <w:top w:val="none" w:sz="0" w:space="0" w:color="auto"/>
        <w:left w:val="none" w:sz="0" w:space="0" w:color="auto"/>
        <w:bottom w:val="none" w:sz="0" w:space="0" w:color="auto"/>
        <w:right w:val="none" w:sz="0" w:space="0" w:color="auto"/>
      </w:divBdr>
    </w:div>
    <w:div w:id="291524225">
      <w:bodyDiv w:val="1"/>
      <w:marLeft w:val="0"/>
      <w:marRight w:val="0"/>
      <w:marTop w:val="0"/>
      <w:marBottom w:val="0"/>
      <w:divBdr>
        <w:top w:val="none" w:sz="0" w:space="0" w:color="auto"/>
        <w:left w:val="none" w:sz="0" w:space="0" w:color="auto"/>
        <w:bottom w:val="none" w:sz="0" w:space="0" w:color="auto"/>
        <w:right w:val="none" w:sz="0" w:space="0" w:color="auto"/>
      </w:divBdr>
    </w:div>
    <w:div w:id="315190248">
      <w:bodyDiv w:val="1"/>
      <w:marLeft w:val="0"/>
      <w:marRight w:val="0"/>
      <w:marTop w:val="0"/>
      <w:marBottom w:val="0"/>
      <w:divBdr>
        <w:top w:val="none" w:sz="0" w:space="0" w:color="auto"/>
        <w:left w:val="none" w:sz="0" w:space="0" w:color="auto"/>
        <w:bottom w:val="none" w:sz="0" w:space="0" w:color="auto"/>
        <w:right w:val="none" w:sz="0" w:space="0" w:color="auto"/>
      </w:divBdr>
    </w:div>
    <w:div w:id="327907807">
      <w:bodyDiv w:val="1"/>
      <w:marLeft w:val="0"/>
      <w:marRight w:val="0"/>
      <w:marTop w:val="0"/>
      <w:marBottom w:val="0"/>
      <w:divBdr>
        <w:top w:val="none" w:sz="0" w:space="0" w:color="auto"/>
        <w:left w:val="none" w:sz="0" w:space="0" w:color="auto"/>
        <w:bottom w:val="none" w:sz="0" w:space="0" w:color="auto"/>
        <w:right w:val="none" w:sz="0" w:space="0" w:color="auto"/>
      </w:divBdr>
    </w:div>
    <w:div w:id="396325102">
      <w:bodyDiv w:val="1"/>
      <w:marLeft w:val="0"/>
      <w:marRight w:val="0"/>
      <w:marTop w:val="0"/>
      <w:marBottom w:val="0"/>
      <w:divBdr>
        <w:top w:val="none" w:sz="0" w:space="0" w:color="auto"/>
        <w:left w:val="none" w:sz="0" w:space="0" w:color="auto"/>
        <w:bottom w:val="none" w:sz="0" w:space="0" w:color="auto"/>
        <w:right w:val="none" w:sz="0" w:space="0" w:color="auto"/>
      </w:divBdr>
    </w:div>
    <w:div w:id="567113215">
      <w:bodyDiv w:val="1"/>
      <w:marLeft w:val="0"/>
      <w:marRight w:val="0"/>
      <w:marTop w:val="0"/>
      <w:marBottom w:val="0"/>
      <w:divBdr>
        <w:top w:val="none" w:sz="0" w:space="0" w:color="auto"/>
        <w:left w:val="none" w:sz="0" w:space="0" w:color="auto"/>
        <w:bottom w:val="none" w:sz="0" w:space="0" w:color="auto"/>
        <w:right w:val="none" w:sz="0" w:space="0" w:color="auto"/>
      </w:divBdr>
    </w:div>
    <w:div w:id="569316525">
      <w:bodyDiv w:val="1"/>
      <w:marLeft w:val="0"/>
      <w:marRight w:val="0"/>
      <w:marTop w:val="0"/>
      <w:marBottom w:val="0"/>
      <w:divBdr>
        <w:top w:val="none" w:sz="0" w:space="0" w:color="auto"/>
        <w:left w:val="none" w:sz="0" w:space="0" w:color="auto"/>
        <w:bottom w:val="none" w:sz="0" w:space="0" w:color="auto"/>
        <w:right w:val="none" w:sz="0" w:space="0" w:color="auto"/>
      </w:divBdr>
    </w:div>
    <w:div w:id="703794451">
      <w:bodyDiv w:val="1"/>
      <w:marLeft w:val="0"/>
      <w:marRight w:val="0"/>
      <w:marTop w:val="0"/>
      <w:marBottom w:val="0"/>
      <w:divBdr>
        <w:top w:val="none" w:sz="0" w:space="0" w:color="auto"/>
        <w:left w:val="none" w:sz="0" w:space="0" w:color="auto"/>
        <w:bottom w:val="none" w:sz="0" w:space="0" w:color="auto"/>
        <w:right w:val="none" w:sz="0" w:space="0" w:color="auto"/>
      </w:divBdr>
    </w:div>
    <w:div w:id="759302097">
      <w:bodyDiv w:val="1"/>
      <w:marLeft w:val="0"/>
      <w:marRight w:val="0"/>
      <w:marTop w:val="0"/>
      <w:marBottom w:val="0"/>
      <w:divBdr>
        <w:top w:val="none" w:sz="0" w:space="0" w:color="auto"/>
        <w:left w:val="none" w:sz="0" w:space="0" w:color="auto"/>
        <w:bottom w:val="none" w:sz="0" w:space="0" w:color="auto"/>
        <w:right w:val="none" w:sz="0" w:space="0" w:color="auto"/>
      </w:divBdr>
    </w:div>
    <w:div w:id="809906951">
      <w:bodyDiv w:val="1"/>
      <w:marLeft w:val="0"/>
      <w:marRight w:val="0"/>
      <w:marTop w:val="0"/>
      <w:marBottom w:val="0"/>
      <w:divBdr>
        <w:top w:val="none" w:sz="0" w:space="0" w:color="auto"/>
        <w:left w:val="none" w:sz="0" w:space="0" w:color="auto"/>
        <w:bottom w:val="none" w:sz="0" w:space="0" w:color="auto"/>
        <w:right w:val="none" w:sz="0" w:space="0" w:color="auto"/>
      </w:divBdr>
    </w:div>
    <w:div w:id="815031477">
      <w:bodyDiv w:val="1"/>
      <w:marLeft w:val="0"/>
      <w:marRight w:val="0"/>
      <w:marTop w:val="0"/>
      <w:marBottom w:val="0"/>
      <w:divBdr>
        <w:top w:val="none" w:sz="0" w:space="0" w:color="auto"/>
        <w:left w:val="none" w:sz="0" w:space="0" w:color="auto"/>
        <w:bottom w:val="none" w:sz="0" w:space="0" w:color="auto"/>
        <w:right w:val="none" w:sz="0" w:space="0" w:color="auto"/>
      </w:divBdr>
    </w:div>
    <w:div w:id="851143106">
      <w:bodyDiv w:val="1"/>
      <w:marLeft w:val="0"/>
      <w:marRight w:val="0"/>
      <w:marTop w:val="0"/>
      <w:marBottom w:val="0"/>
      <w:divBdr>
        <w:top w:val="none" w:sz="0" w:space="0" w:color="auto"/>
        <w:left w:val="none" w:sz="0" w:space="0" w:color="auto"/>
        <w:bottom w:val="none" w:sz="0" w:space="0" w:color="auto"/>
        <w:right w:val="none" w:sz="0" w:space="0" w:color="auto"/>
      </w:divBdr>
    </w:div>
    <w:div w:id="854538534">
      <w:bodyDiv w:val="1"/>
      <w:marLeft w:val="0"/>
      <w:marRight w:val="0"/>
      <w:marTop w:val="0"/>
      <w:marBottom w:val="0"/>
      <w:divBdr>
        <w:top w:val="none" w:sz="0" w:space="0" w:color="auto"/>
        <w:left w:val="none" w:sz="0" w:space="0" w:color="auto"/>
        <w:bottom w:val="none" w:sz="0" w:space="0" w:color="auto"/>
        <w:right w:val="none" w:sz="0" w:space="0" w:color="auto"/>
      </w:divBdr>
    </w:div>
    <w:div w:id="933126401">
      <w:bodyDiv w:val="1"/>
      <w:marLeft w:val="0"/>
      <w:marRight w:val="0"/>
      <w:marTop w:val="0"/>
      <w:marBottom w:val="0"/>
      <w:divBdr>
        <w:top w:val="none" w:sz="0" w:space="0" w:color="auto"/>
        <w:left w:val="none" w:sz="0" w:space="0" w:color="auto"/>
        <w:bottom w:val="none" w:sz="0" w:space="0" w:color="auto"/>
        <w:right w:val="none" w:sz="0" w:space="0" w:color="auto"/>
      </w:divBdr>
    </w:div>
    <w:div w:id="999037769">
      <w:bodyDiv w:val="1"/>
      <w:marLeft w:val="0"/>
      <w:marRight w:val="0"/>
      <w:marTop w:val="0"/>
      <w:marBottom w:val="0"/>
      <w:divBdr>
        <w:top w:val="none" w:sz="0" w:space="0" w:color="auto"/>
        <w:left w:val="none" w:sz="0" w:space="0" w:color="auto"/>
        <w:bottom w:val="none" w:sz="0" w:space="0" w:color="auto"/>
        <w:right w:val="none" w:sz="0" w:space="0" w:color="auto"/>
      </w:divBdr>
    </w:div>
    <w:div w:id="1111167551">
      <w:bodyDiv w:val="1"/>
      <w:marLeft w:val="0"/>
      <w:marRight w:val="0"/>
      <w:marTop w:val="0"/>
      <w:marBottom w:val="0"/>
      <w:divBdr>
        <w:top w:val="none" w:sz="0" w:space="0" w:color="auto"/>
        <w:left w:val="none" w:sz="0" w:space="0" w:color="auto"/>
        <w:bottom w:val="none" w:sz="0" w:space="0" w:color="auto"/>
        <w:right w:val="none" w:sz="0" w:space="0" w:color="auto"/>
      </w:divBdr>
    </w:div>
    <w:div w:id="1192836089">
      <w:bodyDiv w:val="1"/>
      <w:marLeft w:val="0"/>
      <w:marRight w:val="0"/>
      <w:marTop w:val="0"/>
      <w:marBottom w:val="0"/>
      <w:divBdr>
        <w:top w:val="none" w:sz="0" w:space="0" w:color="auto"/>
        <w:left w:val="none" w:sz="0" w:space="0" w:color="auto"/>
        <w:bottom w:val="none" w:sz="0" w:space="0" w:color="auto"/>
        <w:right w:val="none" w:sz="0" w:space="0" w:color="auto"/>
      </w:divBdr>
    </w:div>
    <w:div w:id="1447768337">
      <w:bodyDiv w:val="1"/>
      <w:marLeft w:val="0"/>
      <w:marRight w:val="0"/>
      <w:marTop w:val="0"/>
      <w:marBottom w:val="0"/>
      <w:divBdr>
        <w:top w:val="none" w:sz="0" w:space="0" w:color="auto"/>
        <w:left w:val="none" w:sz="0" w:space="0" w:color="auto"/>
        <w:bottom w:val="none" w:sz="0" w:space="0" w:color="auto"/>
        <w:right w:val="none" w:sz="0" w:space="0" w:color="auto"/>
      </w:divBdr>
    </w:div>
    <w:div w:id="1626740970">
      <w:bodyDiv w:val="1"/>
      <w:marLeft w:val="0"/>
      <w:marRight w:val="0"/>
      <w:marTop w:val="0"/>
      <w:marBottom w:val="0"/>
      <w:divBdr>
        <w:top w:val="none" w:sz="0" w:space="0" w:color="auto"/>
        <w:left w:val="none" w:sz="0" w:space="0" w:color="auto"/>
        <w:bottom w:val="none" w:sz="0" w:space="0" w:color="auto"/>
        <w:right w:val="none" w:sz="0" w:space="0" w:color="auto"/>
      </w:divBdr>
    </w:div>
    <w:div w:id="1688092966">
      <w:bodyDiv w:val="1"/>
      <w:marLeft w:val="0"/>
      <w:marRight w:val="0"/>
      <w:marTop w:val="0"/>
      <w:marBottom w:val="0"/>
      <w:divBdr>
        <w:top w:val="none" w:sz="0" w:space="0" w:color="auto"/>
        <w:left w:val="none" w:sz="0" w:space="0" w:color="auto"/>
        <w:bottom w:val="none" w:sz="0" w:space="0" w:color="auto"/>
        <w:right w:val="none" w:sz="0" w:space="0" w:color="auto"/>
      </w:divBdr>
    </w:div>
    <w:div w:id="1703896063">
      <w:bodyDiv w:val="1"/>
      <w:marLeft w:val="0"/>
      <w:marRight w:val="0"/>
      <w:marTop w:val="0"/>
      <w:marBottom w:val="0"/>
      <w:divBdr>
        <w:top w:val="none" w:sz="0" w:space="0" w:color="auto"/>
        <w:left w:val="none" w:sz="0" w:space="0" w:color="auto"/>
        <w:bottom w:val="none" w:sz="0" w:space="0" w:color="auto"/>
        <w:right w:val="none" w:sz="0" w:space="0" w:color="auto"/>
      </w:divBdr>
    </w:div>
    <w:div w:id="1757434542">
      <w:bodyDiv w:val="1"/>
      <w:marLeft w:val="0"/>
      <w:marRight w:val="0"/>
      <w:marTop w:val="0"/>
      <w:marBottom w:val="0"/>
      <w:divBdr>
        <w:top w:val="none" w:sz="0" w:space="0" w:color="auto"/>
        <w:left w:val="none" w:sz="0" w:space="0" w:color="auto"/>
        <w:bottom w:val="none" w:sz="0" w:space="0" w:color="auto"/>
        <w:right w:val="none" w:sz="0" w:space="0" w:color="auto"/>
      </w:divBdr>
    </w:div>
    <w:div w:id="1994403573">
      <w:bodyDiv w:val="1"/>
      <w:marLeft w:val="0"/>
      <w:marRight w:val="0"/>
      <w:marTop w:val="0"/>
      <w:marBottom w:val="0"/>
      <w:divBdr>
        <w:top w:val="none" w:sz="0" w:space="0" w:color="auto"/>
        <w:left w:val="none" w:sz="0" w:space="0" w:color="auto"/>
        <w:bottom w:val="none" w:sz="0" w:space="0" w:color="auto"/>
        <w:right w:val="none" w:sz="0" w:space="0" w:color="auto"/>
      </w:divBdr>
    </w:div>
    <w:div w:id="2092192951">
      <w:bodyDiv w:val="1"/>
      <w:marLeft w:val="0"/>
      <w:marRight w:val="0"/>
      <w:marTop w:val="0"/>
      <w:marBottom w:val="0"/>
      <w:divBdr>
        <w:top w:val="none" w:sz="0" w:space="0" w:color="auto"/>
        <w:left w:val="none" w:sz="0" w:space="0" w:color="auto"/>
        <w:bottom w:val="none" w:sz="0" w:space="0" w:color="auto"/>
        <w:right w:val="none" w:sz="0" w:space="0" w:color="auto"/>
      </w:divBdr>
    </w:div>
    <w:div w:id="2130314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Version="6">
  <b:Source>
    <b:Tag>Bla13</b:Tag>
    <b:SourceType>JournalArticle</b:SourceType>
    <b:Guid>{F4BC54D1-0386-46BF-A352-C6D0CAD5F322}</b:Guid>
    <b:Author>
      <b:Author>
        <b:NameList>
          <b:Person>
            <b:Last>Blau</b:Last>
            <b:First>Joel</b:First>
          </b:Person>
        </b:NameList>
      </b:Author>
    </b:Author>
    <b:Title>Revising the New Deal</b:Title>
    <b:JournalName>Reviews in American History; Baltimore Vol. 41, Iss. 1, </b:JournalName>
    <b:Year>2013</b:Year>
    <b:Pages>129-133</b:Pages>
    <b:RefOrder>1</b:RefOrder>
  </b:Source>
  <b:Source>
    <b:Tag>Abr10</b:Tag>
    <b:SourceType>JournalArticle</b:SourceType>
    <b:Guid>{3166A7F1-ABD1-47AE-A80C-895A11449D00}</b:Guid>
    <b:Author>
      <b:Author>
        <b:NameList>
          <b:Person>
            <b:Last>Abrams</b:Last>
            <b:First>Douglas</b:First>
          </b:Person>
        </b:NameList>
      </b:Author>
    </b:Author>
    <b:Title>"That Magnificent Army of Youth and Peace": The Civilian Conservation Corps in North Carolina, 1933-1942/The Civilian Conservation Corps in Alabama, 1933-1942: A Great and Lasting Good</b:Title>
    <b:JournalName>. The Journal of Southern History; Athens Vol. 76, Iss. 1</b:JournalName>
    <b:Year>2010</b:Year>
    <b:Pages>193-194</b:Pages>
    <b:RefOrder>2</b:RefOrder>
  </b:Source>
  <b:Source>
    <b:Tag>Kin16</b:Tag>
    <b:SourceType>JournalArticle</b:SourceType>
    <b:Guid>{6E399CBA-8E1C-4E41-A5C4-6413B910F88B}</b:Guid>
    <b:Author>
      <b:Author>
        <b:NameList>
          <b:Person>
            <b:Last>Kinsella</b:Last>
            <b:First>William</b:First>
          </b:Person>
        </b:NameList>
      </b:Author>
    </b:Author>
    <b:Title>Harry Hopkins, FDR's Envoy to Churchill and Stalin</b:Title>
    <b:JournalName>Presidential Studies Quarterly; Washington Vol. 46, Iss. 3,</b:JournalName>
    <b:Year>2016</b:Year>
    <b:Pages>735</b:Pages>
    <b:RefOrder>3</b:RefOrder>
  </b:Source>
  <b:Source>
    <b:Tag>Hog16</b:Tag>
    <b:SourceType>JournalArticle</b:SourceType>
    <b:Guid>{ABA3B50F-6745-4A41-9B48-8C8237729F27}</b:Guid>
    <b:Author>
      <b:Author>
        <b:NameList>
          <b:Person>
            <b:Last>Hogan</b:Last>
            <b:First>Thomas</b:First>
          </b:Person>
        </b:NameList>
      </b:Author>
    </b:Author>
    <b:Title>Alternatives to the Federal Deposit Insurance Corporation</b:Title>
    <b:JournalName>The Independent Review; Oakland Vol. 20, Iss. 3</b:JournalName>
    <b:Year>2016</b:Year>
    <b:Pages>440</b:Pages>
    <b:RefOrder>4</b:RefOrder>
  </b:Source>
  <b:Source>
    <b:Tag>And07</b:Tag>
    <b:SourceType>JournalArticle</b:SourceType>
    <b:Guid>{BBBCB859-79CB-4925-B727-FD49D7E881FF}</b:Guid>
    <b:Author>
      <b:Author>
        <b:NameList>
          <b:Person>
            <b:Last>Jones</b:Last>
            <b:First>Andrew</b:First>
          </b:Person>
        </b:NameList>
      </b:Author>
    </b:Author>
    <b:Title>Emergency Management</b:Title>
    <b:JournalName>The American Experience 1900-2010, Second Edition</b:JournalName>
    <b:Year>2007</b:Year>
    <b:Pages>52</b:Pages>
    <b:RefOrder>5</b:RefOrder>
  </b:Source>
  <b:Source>
    <b:Tag>Glo16</b:Tag>
    <b:SourceType>JournalArticle</b:SourceType>
    <b:Guid>{2849EB26-383C-43F2-8153-C03D466300D1}</b:Guid>
    <b:Author>
      <b:Author>
        <b:NameList>
          <b:Person>
            <b:Last>Glock</b:Last>
            <b:First>Judge</b:First>
          </b:Person>
        </b:NameList>
      </b:Author>
    </b:Author>
    <b:Title>How the Federal Housing Administration Tried to Save America's Cities, 1934-1960</b:Title>
    <b:JournalName>. Journal of Policy History : JPH; Cambridge Vol. 28, Iss. 2,</b:JournalName>
    <b:Year>2016</b:Year>
    <b:Pages>297-300</b:Pages>
    <b:RefOrder>6</b:RefOrder>
  </b:Source>
  <b:Source>
    <b:Tag>Vic14</b:Tag>
    <b:SourceType>JournalArticle</b:SourceType>
    <b:Guid>{0FD0A706-390F-44EE-904E-A1100765D277}</b:Guid>
    <b:Author>
      <b:Author>
        <b:NameList>
          <b:Person>
            <b:Last>Vickers</b:Last>
            <b:First>Chris</b:First>
          </b:Person>
        </b:NameList>
      </b:Author>
    </b:Author>
    <b:Title>Did the National Industrial Recovery Act Foster Collusion? Evidence from the Macaroni Industry</b:Title>
    <b:JournalName>The Journal of Economic History; Santa Clara Vol. 74, Iss. 3</b:JournalName>
    <b:Year>2014</b:Year>
    <b:Pages>850-860</b:Pages>
    <b:RefOrder>7</b:RefOrder>
  </b:Source>
  <b:Source>
    <b:Tag>Chi13</b:Tag>
    <b:SourceType>JournalArticle</b:SourceType>
    <b:Guid>{F3842FAC-F456-4D4C-A59E-23EAF26D512A}</b:Guid>
    <b:Author>
      <b:Author>
        <b:NameList>
          <b:Person>
            <b:Last>Chicu</b:Last>
            <b:First>Mark</b:First>
          </b:Person>
        </b:NameList>
      </b:Author>
    </b:Author>
    <b:Title>Cementing the case for collusion under the National Recovery Administration</b:Title>
    <b:JournalName>Explorations in Economic History; Madison Vol. 50, Iss. 4,</b:JournalName>
    <b:Year>2013</b:Year>
    <b:Pages>490-494</b:Pages>
    <b:RefOrder>8</b:RefOrder>
  </b:Source>
  <b:Source>
    <b:Tag>Mul09</b:Tag>
    <b:SourceType>JournalArticle</b:SourceType>
    <b:Guid>{9A99772E-5F6B-417E-B2AC-EB6A3DF90431}</b:Guid>
    <b:Author>
      <b:Author>
        <b:NameList>
          <b:Person>
            <b:Last>Mulcahy</b:Last>
            <b:First>Kevin</b:First>
          </b:Person>
        </b:NameList>
      </b:Author>
    </b:Author>
    <b:Title>Long-Range Public Investment: The Forgotten Legacy of the New Deal/Building Louisiana: The Legacy of the Public Works Administration</b:Title>
    <b:JournalName>Journal of Arts Management, Law, and Society; Washington Vol. 39, Iss. 1</b:JournalName>
    <b:Year>2009</b:Year>
    <b:Pages>76-78</b:Pages>
    <b:RefOrder>9</b:RefOrder>
  </b:Source>
  <b:Source>
    <b:Tag>Whi10</b:Tag>
    <b:SourceType>JournalArticle</b:SourceType>
    <b:Guid>{ABE947C6-60B4-4045-A2D4-0B8842C9DFD8}</b:Guid>
    <b:Author>
      <b:Author>
        <b:NameList>
          <b:Person>
            <b:Last>White</b:Last>
            <b:First>Lawrence</b:First>
          </b:Person>
        </b:NameList>
      </b:Author>
    </b:Author>
    <b:Title>Markets: The Credit Rating Agencies</b:Title>
    <b:JournalName>The Journal of Economic Perspectives; Nashville Vol. 24, Iss. 2</b:JournalName>
    <b:Year>2010</b:Year>
    <b:Pages>220-222</b:Pages>
    <b:RefOrder>10</b:RefOrder>
  </b:Source>
  <b:Source>
    <b:Tag>Tan15</b:Tag>
    <b:SourceType>JournalArticle</b:SourceType>
    <b:Guid>{531A2DF5-616E-40DF-8E16-090B1778D9DC}</b:Guid>
    <b:Author>
      <b:Author>
        <b:NameList>
          <b:Person>
            <b:Last>Tani</b:Last>
            <b:First>Karen</b:First>
          </b:Person>
        </b:NameList>
      </b:Author>
    </b:Author>
    <b:Title>States' Rights, Welfare Rights, and the "Indian Problem": Negotiating Citizenship and Sovereignty, 1935-1954</b:Title>
    <b:JournalName>Law and History Review; Cambridge Vol. 33, Iss. 1</b:JournalName>
    <b:Year>2015</b:Year>
    <b:Pages>30-35</b:Pages>
    <b:RefOrder>11</b:RefOrder>
  </b:Source>
  <b:Source>
    <b:Tag>Kit14</b:Tag>
    <b:SourceType>JournalArticle</b:SourceType>
    <b:Guid>{80BED612-7B61-4D6C-A328-3DBED32DF608}</b:Guid>
    <b:Author>
      <b:Author>
        <b:NameList>
          <b:Person>
            <b:Last>Kitchens</b:Last>
            <b:First>Carl</b:First>
          </b:Person>
        </b:NameList>
      </b:Author>
    </b:Author>
    <b:Title>The use of eminent domain in land assembly: The case of the Tennessee Valley Authority</b:Title>
    <b:JournalName>Public Choice; Dordrecht Vol. 160, Iss. 3-4, </b:JournalName>
    <b:Year>2014</b:Year>
    <b:Pages>460</b:Pages>
    <b:RefOrder>12</b:RefOrder>
  </b:Source>
  <b:Source>
    <b:Tag>Gri13</b:Tag>
    <b:SourceType>JournalArticle</b:SourceType>
    <b:Guid>{8F42F53A-0FA3-4984-8820-0EA97C438956}</b:Guid>
    <b:Author>
      <b:Author>
        <b:NameList>
          <b:Person>
            <b:Last>Grieve</b:Last>
            <b:First>Victoria</b:First>
          </b:Person>
        </b:NameList>
      </b:Author>
    </b:Author>
    <b:Title>The Visual Production of Citizenship: Children's Literature of the Works Progress Administration, 1937-1942</b:Title>
    <b:JournalName>Children's Literature Association Quarterly; Baltimore Vol. 38, Iss. 1,  (Spring 2013): 26-47.</b:JournalName>
    <b:Year>2013</b:Year>
    <b:Pages>29-31</b:Pages>
    <b:RefOrder>13</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0056EB-CAF2-4915-84C6-55310E724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Fox Rothschild LLP</Company>
  <LinksUpToDate>false</LinksUpToDate>
  <CharactersWithSpaces>14113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ubuntunoc</dc:creator>
  <cp:lastModifiedBy>User</cp:lastModifiedBy>
  <cp:revision>2</cp:revision>
  <dcterms:created xsi:type="dcterms:W3CDTF">2019-02-10T18:36:00Z</dcterms:created>
  <dcterms:modified xsi:type="dcterms:W3CDTF">2019-02-10T18:36:00Z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1033-10.1.0.5672</vt:lpwstr>
  </property>
</Properties>
</file>